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61"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513E34" w:rsidRPr="006C778D" w14:paraId="2FAF8063" w14:textId="77777777" w:rsidTr="004606BD">
        <w:tc>
          <w:tcPr>
            <w:tcW w:w="4961" w:type="dxa"/>
            <w:hideMark/>
          </w:tcPr>
          <w:p w14:paraId="1E7CAAC1" w14:textId="189CF990" w:rsidR="00513E34" w:rsidRPr="006C778D" w:rsidRDefault="00513E34" w:rsidP="004606BD">
            <w:pPr>
              <w:tabs>
                <w:tab w:val="left" w:pos="5070"/>
                <w:tab w:val="left" w:pos="5366"/>
                <w:tab w:val="left" w:pos="6771"/>
                <w:tab w:val="left" w:pos="7363"/>
              </w:tabs>
              <w:jc w:val="both"/>
              <w:rPr>
                <w:lang w:eastAsia="en-US"/>
              </w:rPr>
            </w:pPr>
            <w:r w:rsidRPr="006C778D">
              <w:rPr>
                <w:lang w:eastAsia="en-US"/>
              </w:rPr>
              <w:t>PATVIRTINTA</w:t>
            </w:r>
          </w:p>
        </w:tc>
      </w:tr>
      <w:tr w:rsidR="00513E34" w:rsidRPr="006C778D" w14:paraId="0F49A880" w14:textId="77777777" w:rsidTr="004606BD">
        <w:tc>
          <w:tcPr>
            <w:tcW w:w="4961" w:type="dxa"/>
            <w:hideMark/>
          </w:tcPr>
          <w:p w14:paraId="7ADD1A5F" w14:textId="77777777" w:rsidR="00513E34" w:rsidRPr="006C778D" w:rsidRDefault="00513E34" w:rsidP="004606BD">
            <w:pPr>
              <w:rPr>
                <w:lang w:eastAsia="en-US"/>
              </w:rPr>
            </w:pPr>
            <w:r w:rsidRPr="006C778D">
              <w:rPr>
                <w:lang w:eastAsia="en-US"/>
              </w:rPr>
              <w:t xml:space="preserve">Klaipėdos miesto savivaldybės </w:t>
            </w:r>
            <w:r>
              <w:rPr>
                <w:lang w:eastAsia="en-US"/>
              </w:rPr>
              <w:t>mero</w:t>
            </w:r>
          </w:p>
        </w:tc>
      </w:tr>
      <w:tr w:rsidR="00513E34" w:rsidRPr="006C778D" w14:paraId="696080A1" w14:textId="77777777" w:rsidTr="004606BD">
        <w:tc>
          <w:tcPr>
            <w:tcW w:w="4961" w:type="dxa"/>
            <w:hideMark/>
          </w:tcPr>
          <w:p w14:paraId="17D1DEE4" w14:textId="7CDBD590" w:rsidR="00513E34" w:rsidRPr="006C778D" w:rsidRDefault="00513E34" w:rsidP="004606BD">
            <w:pPr>
              <w:tabs>
                <w:tab w:val="left" w:pos="5070"/>
                <w:tab w:val="left" w:pos="5366"/>
                <w:tab w:val="left" w:pos="6771"/>
                <w:tab w:val="left" w:pos="7363"/>
              </w:tabs>
              <w:rPr>
                <w:lang w:eastAsia="en-US"/>
              </w:rPr>
            </w:pPr>
            <w:r w:rsidRPr="006C778D">
              <w:rPr>
                <w:lang w:eastAsia="en-US"/>
              </w:rPr>
              <w:t>202</w:t>
            </w:r>
            <w:r w:rsidR="00B32460">
              <w:rPr>
                <w:lang w:eastAsia="en-US"/>
              </w:rPr>
              <w:t>4</w:t>
            </w:r>
            <w:r w:rsidRPr="006C778D">
              <w:rPr>
                <w:lang w:eastAsia="en-US"/>
              </w:rPr>
              <w:t xml:space="preserve"> m.                               d. </w:t>
            </w:r>
            <w:r>
              <w:rPr>
                <w:lang w:eastAsia="en-US"/>
              </w:rPr>
              <w:t>potvarkiu</w:t>
            </w:r>
            <w:r w:rsidRPr="006C778D">
              <w:rPr>
                <w:lang w:eastAsia="en-US"/>
              </w:rPr>
              <w:t xml:space="preserve"> Nr.</w:t>
            </w:r>
          </w:p>
        </w:tc>
      </w:tr>
    </w:tbl>
    <w:p w14:paraId="62187ECA" w14:textId="77777777" w:rsidR="0006079E" w:rsidRDefault="0006079E" w:rsidP="0006079E">
      <w:pPr>
        <w:jc w:val="center"/>
      </w:pPr>
    </w:p>
    <w:p w14:paraId="0F7416FF" w14:textId="77777777" w:rsidR="00056889" w:rsidRDefault="00056889" w:rsidP="0006079E">
      <w:pPr>
        <w:jc w:val="center"/>
        <w:rPr>
          <w:b/>
        </w:rPr>
      </w:pPr>
    </w:p>
    <w:p w14:paraId="7E217BC9" w14:textId="0F4CC6D2" w:rsidR="00376CFE" w:rsidRDefault="00ED362C" w:rsidP="0006079E">
      <w:pPr>
        <w:jc w:val="center"/>
        <w:rPr>
          <w:b/>
        </w:rPr>
      </w:pPr>
      <w:r>
        <w:rPr>
          <w:b/>
        </w:rPr>
        <w:t>AKCININKO LŪKESČIŲ RAŠTAS</w:t>
      </w:r>
    </w:p>
    <w:p w14:paraId="6596DCC2" w14:textId="591ED3B7" w:rsidR="00ED362C" w:rsidRDefault="00964648" w:rsidP="0006079E">
      <w:pPr>
        <w:jc w:val="center"/>
      </w:pPr>
      <w:r>
        <w:rPr>
          <w:b/>
        </w:rPr>
        <w:t>U</w:t>
      </w:r>
      <w:r w:rsidR="008B2402">
        <w:rPr>
          <w:b/>
        </w:rPr>
        <w:t xml:space="preserve">ŽDARAJAI </w:t>
      </w:r>
      <w:r w:rsidR="00ED362C">
        <w:rPr>
          <w:b/>
        </w:rPr>
        <w:t>AKCINEI BENDROVEI „</w:t>
      </w:r>
      <w:r w:rsidR="004E0535">
        <w:rPr>
          <w:b/>
        </w:rPr>
        <w:t xml:space="preserve">KLAIPĖDOS </w:t>
      </w:r>
      <w:r w:rsidR="00D25D3E">
        <w:rPr>
          <w:b/>
        </w:rPr>
        <w:t>PASLAUGOS</w:t>
      </w:r>
      <w:r w:rsidR="00ED362C">
        <w:rPr>
          <w:b/>
        </w:rPr>
        <w:t>“</w:t>
      </w:r>
      <w:r w:rsidR="007A788F" w:rsidRPr="007A788F">
        <w:t xml:space="preserve"> </w:t>
      </w:r>
    </w:p>
    <w:p w14:paraId="0EACFB7C" w14:textId="77777777" w:rsidR="00B32460" w:rsidRPr="007A788F" w:rsidRDefault="00B32460" w:rsidP="0006079E">
      <w:pPr>
        <w:jc w:val="center"/>
        <w:rPr>
          <w:b/>
        </w:rPr>
      </w:pPr>
    </w:p>
    <w:p w14:paraId="679FD95D" w14:textId="77777777" w:rsidR="00A87420" w:rsidRDefault="00A87420" w:rsidP="0006079E">
      <w:pPr>
        <w:jc w:val="center"/>
      </w:pPr>
    </w:p>
    <w:p w14:paraId="7A62AB49" w14:textId="77777777" w:rsidR="005F2119" w:rsidRDefault="00363BD7" w:rsidP="005F2119">
      <w:pPr>
        <w:ind w:firstLine="794"/>
        <w:rPr>
          <w:b/>
          <w:bCs/>
        </w:rPr>
      </w:pPr>
      <w:r w:rsidRPr="00363BD7">
        <w:rPr>
          <w:b/>
          <w:bCs/>
        </w:rPr>
        <w:t>Bendrovė ir jos veikla</w:t>
      </w:r>
    </w:p>
    <w:p w14:paraId="3651FBF1" w14:textId="4B7861C5" w:rsidR="008B2402" w:rsidRPr="00314E36" w:rsidRDefault="008B2402" w:rsidP="0098391D">
      <w:pPr>
        <w:ind w:firstLine="794"/>
        <w:jc w:val="both"/>
        <w:rPr>
          <w:b/>
          <w:bCs/>
        </w:rPr>
      </w:pPr>
      <w:r>
        <w:rPr>
          <w:iCs/>
        </w:rPr>
        <w:t>Uždarosios akcinės bendrovės „</w:t>
      </w:r>
      <w:r w:rsidR="00446B97">
        <w:rPr>
          <w:iCs/>
        </w:rPr>
        <w:t xml:space="preserve">Klaipėdos </w:t>
      </w:r>
      <w:r w:rsidR="009429CB">
        <w:rPr>
          <w:iCs/>
        </w:rPr>
        <w:t>paslaugos</w:t>
      </w:r>
      <w:r>
        <w:rPr>
          <w:iCs/>
        </w:rPr>
        <w:t>“</w:t>
      </w:r>
      <w:r w:rsidR="00363BD7" w:rsidRPr="00363BD7">
        <w:rPr>
          <w:iCs/>
        </w:rPr>
        <w:t xml:space="preserve"> </w:t>
      </w:r>
      <w:r>
        <w:rPr>
          <w:iCs/>
        </w:rPr>
        <w:t xml:space="preserve">(toliau – Bendrovė) pagrindinė veikla </w:t>
      </w:r>
      <w:r w:rsidRPr="003A1822">
        <w:rPr>
          <w:iCs/>
        </w:rPr>
        <w:t xml:space="preserve">– </w:t>
      </w:r>
      <w:r w:rsidR="003A1822" w:rsidRPr="003A1822">
        <w:rPr>
          <w:shd w:val="clear" w:color="auto" w:fill="FFFFFF"/>
        </w:rPr>
        <w:t>keleivių vežimas miesto, priemiesčio, tolimojo ir tarptautinio susisiekimo maršrutais, autobusų su vairuotoju nuoma, autobusų stoties teikiamos paslaugos</w:t>
      </w:r>
      <w:r w:rsidR="00A6710D">
        <w:rPr>
          <w:shd w:val="clear" w:color="auto" w:fill="FFFFFF"/>
        </w:rPr>
        <w:t xml:space="preserve">, </w:t>
      </w:r>
      <w:r w:rsidR="00A6710D">
        <w:t>gatvių valymo mašinų operavimo ir mechanizuoto gatvių valymo paslaugos</w:t>
      </w:r>
      <w:r w:rsidR="0098391D">
        <w:t xml:space="preserve">, </w:t>
      </w:r>
      <w:r w:rsidR="0098391D" w:rsidRPr="002B0536">
        <w:rPr>
          <w:lang w:eastAsia="lt-LT"/>
        </w:rPr>
        <w:t xml:space="preserve">Klaipėdos miesto gatvių apšvietimas ir šviesoforų infrastruktūros eksploatavimas, apšvietimo ir šviesoforų sistemų valdymas, priežiūra ir atnaujinimas, </w:t>
      </w:r>
      <w:r w:rsidR="0098391D" w:rsidRPr="002B0536">
        <w:t>užtikrinant energinių išteklių tausojimą.</w:t>
      </w:r>
      <w:r w:rsidR="0098391D">
        <w:rPr>
          <w:b/>
          <w:bCs/>
        </w:rPr>
        <w:t xml:space="preserve"> </w:t>
      </w:r>
      <w:r w:rsidR="00A6710D">
        <w:t>Kita įmonės veikla: reklama</w:t>
      </w:r>
      <w:r w:rsidR="00E401A1">
        <w:t xml:space="preserve">, </w:t>
      </w:r>
      <w:r w:rsidR="00A6710D">
        <w:t>patalpų nuoma, automobilių plovimo ir remonto paslaugos.</w:t>
      </w:r>
    </w:p>
    <w:p w14:paraId="023B201A" w14:textId="77777777" w:rsidR="008B2402" w:rsidRPr="00D23C1F" w:rsidRDefault="008B2402" w:rsidP="003E4534">
      <w:pPr>
        <w:ind w:firstLine="794"/>
        <w:jc w:val="both"/>
        <w:rPr>
          <w:b/>
          <w:iCs/>
        </w:rPr>
      </w:pPr>
    </w:p>
    <w:p w14:paraId="798746C8" w14:textId="16CEED24" w:rsidR="00DC13C8" w:rsidRPr="00DF4CC5" w:rsidRDefault="00363BD7" w:rsidP="00DF4CC5">
      <w:pPr>
        <w:ind w:firstLine="794"/>
        <w:jc w:val="both"/>
        <w:rPr>
          <w:iCs/>
          <w:sz w:val="22"/>
          <w:szCs w:val="22"/>
        </w:rPr>
      </w:pPr>
      <w:r w:rsidRPr="00DC13C8">
        <w:rPr>
          <w:b/>
          <w:iCs/>
        </w:rPr>
        <w:t>Bendrovės veiklos prioritetai</w:t>
      </w:r>
      <w:r w:rsidR="00400AF2" w:rsidRPr="00DC13C8">
        <w:rPr>
          <w:iCs/>
        </w:rPr>
        <w:t xml:space="preserve"> </w:t>
      </w:r>
      <w:r w:rsidR="00DF4CC5" w:rsidRPr="0098679F">
        <w:rPr>
          <w:iCs/>
        </w:rPr>
        <w:t>siejami su nuosekliai įgyvendinama misija ir vizija – tapti patikimu, inovatyviu tvarių paslaugų teikimo partneriu Klaipėdos miestui, efektyviai, saugiai ir ekologiškai teikti paslaugas miestui ir keleiviams.</w:t>
      </w:r>
    </w:p>
    <w:p w14:paraId="2B1EC694" w14:textId="77777777" w:rsidR="0028169C" w:rsidRPr="002B0536" w:rsidRDefault="0028169C" w:rsidP="00DC13C8">
      <w:pPr>
        <w:rPr>
          <w:bCs/>
        </w:rPr>
      </w:pPr>
    </w:p>
    <w:p w14:paraId="56B4E186" w14:textId="77777777" w:rsidR="00363BD7" w:rsidRPr="00363BD7" w:rsidRDefault="00363BD7" w:rsidP="00757C5B">
      <w:pPr>
        <w:ind w:firstLine="794"/>
        <w:rPr>
          <w:b/>
          <w:bCs/>
        </w:rPr>
      </w:pPr>
      <w:r w:rsidRPr="00363BD7">
        <w:rPr>
          <w:b/>
          <w:bCs/>
        </w:rPr>
        <w:t>Nefinansiniai lūkesčiai</w:t>
      </w:r>
    </w:p>
    <w:p w14:paraId="743CAFA3" w14:textId="2C30A302" w:rsidR="00E93F0E" w:rsidRDefault="00363BD7" w:rsidP="00757C5B">
      <w:pPr>
        <w:ind w:firstLine="794"/>
        <w:jc w:val="both"/>
        <w:rPr>
          <w:b/>
          <w:bCs/>
          <w:i/>
          <w:color w:val="000000"/>
        </w:rPr>
      </w:pPr>
      <w:r w:rsidRPr="00363BD7">
        <w:t xml:space="preserve">Bendrovė turi siekti būti </w:t>
      </w:r>
      <w:r w:rsidR="008B197E">
        <w:t xml:space="preserve">tvaria, </w:t>
      </w:r>
      <w:r w:rsidR="0028169C">
        <w:t xml:space="preserve">pelninga, </w:t>
      </w:r>
      <w:r w:rsidRPr="00363BD7">
        <w:t>pažangia, modernia, efektyvia, aiškiomis vertybėmis savo veiklą grindžiančia</w:t>
      </w:r>
      <w:r w:rsidR="00FC07D3">
        <w:t xml:space="preserve">, </w:t>
      </w:r>
      <w:r w:rsidR="00C674FF">
        <w:t>solidžiu ir stipriu įvaizdžiu</w:t>
      </w:r>
      <w:r w:rsidRPr="00363BD7">
        <w:t xml:space="preserve"> bei patrauklaus darbdavio reputaciją išlaikančia</w:t>
      </w:r>
      <w:r w:rsidR="00FC07D3">
        <w:t xml:space="preserve"> ir darbuotojų gerovę užtikrinančia</w:t>
      </w:r>
      <w:r w:rsidRPr="00363BD7">
        <w:t xml:space="preserve"> įmone. Bendrovė privalo vykdyti savo veiklą pagal aukščiausius antikorupcijos ir skaidrumo, valdysenos, etikos ir socialinės atsakomybės standartus, vadovautis gerąja tvaraus ir subalansuoto vystymosi praktika.</w:t>
      </w:r>
      <w:r w:rsidR="00CC7945">
        <w:t xml:space="preserve"> </w:t>
      </w:r>
    </w:p>
    <w:p w14:paraId="5595A10F" w14:textId="77777777" w:rsidR="00DC13C8" w:rsidRDefault="00DC13C8" w:rsidP="00DC13C8">
      <w:pPr>
        <w:ind w:firstLine="794"/>
        <w:jc w:val="both"/>
        <w:rPr>
          <w:b/>
          <w:bCs/>
          <w:i/>
          <w:color w:val="000000"/>
        </w:rPr>
      </w:pPr>
    </w:p>
    <w:p w14:paraId="572AF7E0" w14:textId="0B4116D5" w:rsidR="00E941CF" w:rsidRPr="00DC13C8" w:rsidRDefault="00DC13C8" w:rsidP="00DC13C8">
      <w:pPr>
        <w:ind w:firstLine="794"/>
        <w:jc w:val="both"/>
        <w:rPr>
          <w:b/>
          <w:color w:val="000000"/>
        </w:rPr>
      </w:pPr>
      <w:r w:rsidRPr="00363BD7">
        <w:rPr>
          <w:b/>
          <w:bCs/>
          <w:i/>
          <w:color w:val="000000"/>
        </w:rPr>
        <w:t>Plėtros lūkestis</w:t>
      </w:r>
      <w:r>
        <w:rPr>
          <w:color w:val="000000"/>
        </w:rPr>
        <w:t xml:space="preserve"> </w:t>
      </w:r>
      <w:r w:rsidRPr="002B0536">
        <w:rPr>
          <w:color w:val="000000"/>
        </w:rPr>
        <w:t>susijęs su viešųjų erdvių, gatvių ir kiemų apšvietimo tinklų išplėtimu, įrengimu ir modernizavimu, eismo pralaidumo didinimu, kokybės gerinimu ir saugumo užtikrinimu.  Bendrovė turi siekti gatvių ir viešųjų erdvių apšvietimą organizuoti, modernizuojant šviestuvus, natrio lempų šviestuvus keičiant į LED šviestuvus, įrengiant saulės elektrines, didinant energinį efektyvumą.</w:t>
      </w:r>
    </w:p>
    <w:p w14:paraId="5C040E6C" w14:textId="77777777" w:rsidR="00D25D3E" w:rsidRDefault="00D25D3E" w:rsidP="008264B1">
      <w:pPr>
        <w:ind w:firstLine="794"/>
        <w:jc w:val="both"/>
        <w:rPr>
          <w:b/>
          <w:bCs/>
          <w:i/>
          <w:color w:val="000000"/>
        </w:rPr>
      </w:pPr>
    </w:p>
    <w:p w14:paraId="2674295D" w14:textId="415B110B" w:rsidR="008264B1" w:rsidRDefault="008264B1" w:rsidP="008264B1">
      <w:pPr>
        <w:ind w:firstLine="794"/>
        <w:jc w:val="both"/>
        <w:rPr>
          <w:color w:val="000000"/>
        </w:rPr>
      </w:pPr>
      <w:r w:rsidRPr="00363BD7">
        <w:rPr>
          <w:b/>
          <w:bCs/>
          <w:i/>
          <w:color w:val="000000"/>
        </w:rPr>
        <w:t>Efektyvumo lūkestis.</w:t>
      </w:r>
      <w:r w:rsidRPr="00363BD7">
        <w:rPr>
          <w:i/>
          <w:color w:val="000000"/>
        </w:rPr>
        <w:t xml:space="preserve"> </w:t>
      </w:r>
      <w:r w:rsidRPr="00363BD7">
        <w:rPr>
          <w:color w:val="000000"/>
        </w:rPr>
        <w:t>Bendrovė</w:t>
      </w:r>
      <w:r>
        <w:rPr>
          <w:color w:val="000000"/>
        </w:rPr>
        <w:t xml:space="preserve"> turi siekti kuo geresnių veiklos rezultatų, pelningos, skaidrios ir efektyvios veiklos, racionalaus investavimo. Bendrovė turi efektyviai valdyti </w:t>
      </w:r>
      <w:r w:rsidRPr="00363BD7">
        <w:rPr>
          <w:color w:val="000000"/>
        </w:rPr>
        <w:t>patiriam</w:t>
      </w:r>
      <w:r>
        <w:rPr>
          <w:color w:val="000000"/>
        </w:rPr>
        <w:t>as</w:t>
      </w:r>
      <w:r w:rsidRPr="00363BD7">
        <w:rPr>
          <w:color w:val="000000"/>
        </w:rPr>
        <w:t xml:space="preserve"> sąnaud</w:t>
      </w:r>
      <w:r>
        <w:rPr>
          <w:color w:val="000000"/>
        </w:rPr>
        <w:t xml:space="preserve">as, atsakingai </w:t>
      </w:r>
      <w:r w:rsidRPr="00363BD7">
        <w:rPr>
          <w:color w:val="000000"/>
        </w:rPr>
        <w:t>vykd</w:t>
      </w:r>
      <w:r>
        <w:rPr>
          <w:color w:val="000000"/>
        </w:rPr>
        <w:t>yti</w:t>
      </w:r>
      <w:r w:rsidRPr="00363BD7">
        <w:rPr>
          <w:color w:val="000000"/>
        </w:rPr>
        <w:t xml:space="preserve"> išlaidų kontrol</w:t>
      </w:r>
      <w:r>
        <w:rPr>
          <w:color w:val="000000"/>
        </w:rPr>
        <w:t>ę</w:t>
      </w:r>
      <w:r w:rsidRPr="00363BD7">
        <w:rPr>
          <w:color w:val="000000"/>
        </w:rPr>
        <w:t xml:space="preserve">, </w:t>
      </w:r>
      <w:r>
        <w:rPr>
          <w:color w:val="000000"/>
        </w:rPr>
        <w:t xml:space="preserve">efektyviai ir </w:t>
      </w:r>
      <w:r w:rsidRPr="00363BD7">
        <w:rPr>
          <w:color w:val="000000"/>
        </w:rPr>
        <w:t>racionaliai naud</w:t>
      </w:r>
      <w:r>
        <w:rPr>
          <w:color w:val="000000"/>
        </w:rPr>
        <w:t xml:space="preserve">oti </w:t>
      </w:r>
      <w:r w:rsidRPr="00363BD7">
        <w:rPr>
          <w:color w:val="000000"/>
        </w:rPr>
        <w:t>Bendrovės lėšas</w:t>
      </w:r>
      <w:r>
        <w:rPr>
          <w:color w:val="000000"/>
        </w:rPr>
        <w:t xml:space="preserve"> ir turtą</w:t>
      </w:r>
      <w:r w:rsidR="00DF4CC5">
        <w:rPr>
          <w:color w:val="000000"/>
        </w:rPr>
        <w:t xml:space="preserve">, </w:t>
      </w:r>
      <w:r w:rsidR="00DF4CC5" w:rsidRPr="009429CB">
        <w:rPr>
          <w:color w:val="000000"/>
        </w:rPr>
        <w:t>siekiant kuo daugiau panaudoti Europos sąjungos / valstybės fondų lėšų Bendrovės funkcijų vykdymui.</w:t>
      </w:r>
      <w:r w:rsidR="00DF4CC5">
        <w:rPr>
          <w:color w:val="000000"/>
        </w:rPr>
        <w:t xml:space="preserve"> </w:t>
      </w:r>
      <w:r>
        <w:rPr>
          <w:color w:val="000000"/>
        </w:rPr>
        <w:t>I</w:t>
      </w:r>
      <w:r w:rsidRPr="00363BD7">
        <w:rPr>
          <w:color w:val="000000"/>
        </w:rPr>
        <w:t>nvesticijos vykdomos įvertinus jų ekonominę naudą bei grąžą</w:t>
      </w:r>
      <w:r>
        <w:rPr>
          <w:color w:val="000000"/>
        </w:rPr>
        <w:t xml:space="preserve">. </w:t>
      </w:r>
      <w:r w:rsidRPr="00363BD7">
        <w:rPr>
          <w:color w:val="000000"/>
        </w:rPr>
        <w:t xml:space="preserve">Bendrovė privalo </w:t>
      </w:r>
      <w:r>
        <w:rPr>
          <w:color w:val="000000"/>
        </w:rPr>
        <w:t xml:space="preserve">nuolat vertinti efektyvumo rodiklius, juos </w:t>
      </w:r>
      <w:r w:rsidRPr="00363BD7">
        <w:rPr>
          <w:color w:val="000000"/>
        </w:rPr>
        <w:t xml:space="preserve">lyginti </w:t>
      </w:r>
      <w:r>
        <w:rPr>
          <w:color w:val="000000"/>
        </w:rPr>
        <w:t xml:space="preserve">bei </w:t>
      </w:r>
      <w:r w:rsidRPr="00363BD7">
        <w:rPr>
          <w:color w:val="000000"/>
        </w:rPr>
        <w:t>ieškoti</w:t>
      </w:r>
      <w:r>
        <w:rPr>
          <w:color w:val="000000"/>
        </w:rPr>
        <w:t xml:space="preserve"> sprendimų ir</w:t>
      </w:r>
      <w:r w:rsidRPr="00363BD7">
        <w:rPr>
          <w:color w:val="000000"/>
        </w:rPr>
        <w:t xml:space="preserve"> priemonių j</w:t>
      </w:r>
      <w:r w:rsidR="0078596C">
        <w:rPr>
          <w:color w:val="000000"/>
        </w:rPr>
        <w:t>iems</w:t>
      </w:r>
      <w:r w:rsidRPr="00363BD7">
        <w:rPr>
          <w:color w:val="000000"/>
        </w:rPr>
        <w:t xml:space="preserve"> gerin</w:t>
      </w:r>
      <w:r w:rsidR="0078596C">
        <w:rPr>
          <w:color w:val="000000"/>
        </w:rPr>
        <w:t>t</w:t>
      </w:r>
      <w:r w:rsidRPr="00363BD7">
        <w:rPr>
          <w:color w:val="000000"/>
        </w:rPr>
        <w:t xml:space="preserve">i. </w:t>
      </w:r>
    </w:p>
    <w:p w14:paraId="76037037" w14:textId="77777777" w:rsidR="00D25D3E" w:rsidRDefault="00D25D3E" w:rsidP="00DE2D96">
      <w:pPr>
        <w:ind w:firstLine="794"/>
        <w:jc w:val="both"/>
        <w:rPr>
          <w:b/>
          <w:i/>
        </w:rPr>
      </w:pPr>
    </w:p>
    <w:p w14:paraId="51639838" w14:textId="22AA3016" w:rsidR="00DE2D96" w:rsidRPr="00DE2D96" w:rsidRDefault="00C674FF" w:rsidP="00DE2D96">
      <w:pPr>
        <w:ind w:firstLine="794"/>
        <w:jc w:val="both"/>
      </w:pPr>
      <w:r>
        <w:rPr>
          <w:b/>
          <w:i/>
        </w:rPr>
        <w:t>Vidaus kontrolės</w:t>
      </w:r>
      <w:r w:rsidR="00DE2D96" w:rsidRPr="00FF5520">
        <w:rPr>
          <w:b/>
          <w:i/>
        </w:rPr>
        <w:t xml:space="preserve"> valdymo lūkestis</w:t>
      </w:r>
      <w:r w:rsidR="00DE2D96" w:rsidRPr="00FF5520">
        <w:rPr>
          <w:i/>
        </w:rPr>
        <w:t xml:space="preserve">. </w:t>
      </w:r>
      <w:r w:rsidR="00DE2D96" w:rsidRPr="00FF5520">
        <w:t>Vadovaujantis vidaus kontrolei taikomais reikalavimais, nustatytais Lietuvos Respublikos vidaus kontrolės ir vidaus audito įstatyme, Bendrovėje turi būti nustatoma</w:t>
      </w:r>
      <w:r w:rsidR="00D25D3E">
        <w:t xml:space="preserve"> ir įgyvendinama</w:t>
      </w:r>
      <w:r w:rsidR="00DE2D96" w:rsidRPr="00FF5520">
        <w:t xml:space="preserve"> veiksminga vidaus kontrolės sistema, kuri padėtų užtikrinti jos veiklos teisėtumą, ekonomiškumą, efektyvumą, rezultatyvumą ir skaidrumą, strategijos ir veiklos planų įgyvendinimą, turto apsaugą, informacijos ir ataskaitų patikimumą bei išsamumą, sutartinių ir kitų įsipareigojimų tretiesiems asmenims laikymąsi ir visų su tuo susijusių rizikos veiksnių valdymą. </w:t>
      </w:r>
      <w:r w:rsidR="00DE2D96">
        <w:t xml:space="preserve"> </w:t>
      </w:r>
    </w:p>
    <w:p w14:paraId="591ACCFF" w14:textId="77777777" w:rsidR="00D25D3E" w:rsidRDefault="00D25D3E" w:rsidP="008264B1">
      <w:pPr>
        <w:ind w:firstLine="794"/>
        <w:jc w:val="both"/>
        <w:rPr>
          <w:b/>
          <w:bCs/>
          <w:i/>
        </w:rPr>
      </w:pPr>
    </w:p>
    <w:p w14:paraId="74D38876" w14:textId="7CF4DEF8" w:rsidR="008264B1" w:rsidRDefault="00363BD7" w:rsidP="008264B1">
      <w:pPr>
        <w:ind w:firstLine="794"/>
        <w:jc w:val="both"/>
      </w:pPr>
      <w:r w:rsidRPr="00363BD7">
        <w:rPr>
          <w:b/>
          <w:bCs/>
          <w:i/>
        </w:rPr>
        <w:t>Skaidrumo lūkestis</w:t>
      </w:r>
      <w:r w:rsidR="008F3A53">
        <w:t xml:space="preserve">. Bendrovė </w:t>
      </w:r>
      <w:r w:rsidR="00CD7FBC">
        <w:t xml:space="preserve">turi vadovautis </w:t>
      </w:r>
      <w:r w:rsidRPr="00363BD7">
        <w:t>Lietuvos Respublikos Vyriausybės patvirtinto Valstybės valdomų įmonių skaidrumo užtikrinimo gairių aprašo</w:t>
      </w:r>
      <w:r w:rsidR="006C2386">
        <w:t xml:space="preserve"> (toliau – Skaidrumo gairės)</w:t>
      </w:r>
      <w:r w:rsidRPr="00363BD7">
        <w:t xml:space="preserve"> nuostat</w:t>
      </w:r>
      <w:r w:rsidR="00CD7FBC">
        <w:t xml:space="preserve">omis, Bendrovės interneto svetainėje turi būti atskleista </w:t>
      </w:r>
      <w:r w:rsidR="006C2386">
        <w:t>Skaidrumo gairėse</w:t>
      </w:r>
      <w:r w:rsidR="00CD7FBC" w:rsidRPr="00043FEC">
        <w:t xml:space="preserve"> nustatyt</w:t>
      </w:r>
      <w:r w:rsidR="00CD7FBC">
        <w:t xml:space="preserve">a </w:t>
      </w:r>
      <w:r w:rsidR="00CD7FBC" w:rsidRPr="00043FEC">
        <w:t>vis</w:t>
      </w:r>
      <w:r w:rsidR="00CD7FBC">
        <w:t>a</w:t>
      </w:r>
      <w:r w:rsidR="00CD7FBC" w:rsidRPr="00043FEC">
        <w:t xml:space="preserve"> </w:t>
      </w:r>
      <w:r w:rsidR="00CD7FBC" w:rsidRPr="00043FEC">
        <w:lastRenderedPageBreak/>
        <w:t>privalom</w:t>
      </w:r>
      <w:r w:rsidR="00CD7FBC">
        <w:t>a</w:t>
      </w:r>
      <w:r w:rsidR="00CD7FBC" w:rsidRPr="00043FEC">
        <w:t xml:space="preserve"> </w:t>
      </w:r>
      <w:r w:rsidR="00C86013" w:rsidRPr="00043FEC">
        <w:t xml:space="preserve">skelbti </w:t>
      </w:r>
      <w:r w:rsidR="00342F3F" w:rsidRPr="00043FEC">
        <w:t>informacij</w:t>
      </w:r>
      <w:r w:rsidR="00CD7FBC">
        <w:t>a.</w:t>
      </w:r>
      <w:r w:rsidR="00342F3F" w:rsidRPr="00043FEC">
        <w:t xml:space="preserve"> </w:t>
      </w:r>
      <w:r w:rsidRPr="00363BD7">
        <w:t>Bendrovės valdymo</w:t>
      </w:r>
      <w:r w:rsidR="003C4378">
        <w:t xml:space="preserve"> </w:t>
      </w:r>
      <w:r w:rsidRPr="00363BD7">
        <w:t xml:space="preserve">organai turi užtikrinti skaidrią Bendrovės veiklą bei </w:t>
      </w:r>
      <w:r w:rsidR="009275DA">
        <w:t xml:space="preserve">racionalius ir </w:t>
      </w:r>
      <w:r w:rsidRPr="00363BD7">
        <w:t xml:space="preserve">ekonomiškai pagrįstus sprendimus. Bendrovės </w:t>
      </w:r>
      <w:r w:rsidR="00043FEC">
        <w:t>valdymo organai</w:t>
      </w:r>
      <w:r w:rsidRPr="00363BD7">
        <w:t xml:space="preserve"> </w:t>
      </w:r>
      <w:r w:rsidR="00631094">
        <w:t xml:space="preserve">turi </w:t>
      </w:r>
      <w:r w:rsidRPr="00363BD7">
        <w:t>siekt</w:t>
      </w:r>
      <w:r w:rsidR="00631094">
        <w:t>i</w:t>
      </w:r>
      <w:r w:rsidRPr="00363BD7">
        <w:t xml:space="preserve"> depolitizuotos Bendrovės veiklos. Bendrovėje viešieji pirkimai turi būti vykdomi laikantis Lietuvos Respublikos teisės aktų reikalavimų bei turi būti užtikrinama, kad priimant bet kokius sprendimus būtų užkertamas kelias viešųjų ir privačių interesų konfliktams. </w:t>
      </w:r>
      <w:r w:rsidR="0005773A">
        <w:t xml:space="preserve">Bendrovėje įgyvendinama </w:t>
      </w:r>
      <w:r w:rsidR="0005773A" w:rsidRPr="00D731A2">
        <w:t>nulinės tolerancijos korupcijai politika</w:t>
      </w:r>
      <w:r w:rsidR="00E972ED">
        <w:t xml:space="preserve">, vadovaujamasi jos patvirtintu etikos kodeksu. </w:t>
      </w:r>
    </w:p>
    <w:p w14:paraId="0846E13B" w14:textId="77777777" w:rsidR="00D25D3E" w:rsidRDefault="00D25D3E" w:rsidP="00B806B8">
      <w:pPr>
        <w:pStyle w:val="PlainText"/>
        <w:ind w:firstLine="794"/>
        <w:jc w:val="both"/>
        <w:rPr>
          <w:rFonts w:ascii="Times New Roman" w:hAnsi="Times New Roman" w:cs="Times New Roman"/>
          <w:b/>
          <w:bCs/>
          <w:i/>
          <w:color w:val="000000"/>
          <w:sz w:val="24"/>
          <w:szCs w:val="24"/>
        </w:rPr>
      </w:pPr>
    </w:p>
    <w:p w14:paraId="72271B30" w14:textId="74374B0B" w:rsidR="00C222C2" w:rsidRPr="00B806B8" w:rsidRDefault="00363BD7" w:rsidP="00B806B8">
      <w:pPr>
        <w:pStyle w:val="PlainText"/>
        <w:ind w:firstLine="794"/>
        <w:jc w:val="both"/>
        <w:rPr>
          <w:rFonts w:ascii="Times New Roman" w:hAnsi="Times New Roman" w:cs="Times New Roman"/>
          <w:sz w:val="24"/>
          <w:szCs w:val="24"/>
        </w:rPr>
      </w:pPr>
      <w:r w:rsidRPr="00B806B8">
        <w:rPr>
          <w:rFonts w:ascii="Times New Roman" w:hAnsi="Times New Roman" w:cs="Times New Roman"/>
          <w:b/>
          <w:bCs/>
          <w:i/>
          <w:color w:val="000000"/>
          <w:sz w:val="24"/>
          <w:szCs w:val="24"/>
        </w:rPr>
        <w:t>Socialinės atsakomybės lūkestis.</w:t>
      </w:r>
      <w:r w:rsidRPr="00B806B8">
        <w:rPr>
          <w:rFonts w:ascii="Times New Roman" w:hAnsi="Times New Roman" w:cs="Times New Roman"/>
          <w:i/>
          <w:color w:val="000000"/>
          <w:sz w:val="24"/>
          <w:szCs w:val="24"/>
        </w:rPr>
        <w:t xml:space="preserve"> </w:t>
      </w:r>
      <w:r w:rsidR="00D77B80" w:rsidRPr="00B806B8">
        <w:rPr>
          <w:rFonts w:ascii="Times New Roman" w:hAnsi="Times New Roman" w:cs="Times New Roman"/>
          <w:sz w:val="24"/>
          <w:szCs w:val="24"/>
        </w:rPr>
        <w:t>V</w:t>
      </w:r>
      <w:r w:rsidRPr="00B806B8">
        <w:rPr>
          <w:rFonts w:ascii="Times New Roman" w:hAnsi="Times New Roman" w:cs="Times New Roman"/>
          <w:sz w:val="24"/>
          <w:szCs w:val="24"/>
        </w:rPr>
        <w:t xml:space="preserve">ykdydama savo veiklą Bendrovė </w:t>
      </w:r>
      <w:r w:rsidR="00E30B02" w:rsidRPr="00B806B8">
        <w:rPr>
          <w:rFonts w:ascii="Times New Roman" w:hAnsi="Times New Roman" w:cs="Times New Roman"/>
          <w:sz w:val="24"/>
          <w:szCs w:val="24"/>
        </w:rPr>
        <w:t xml:space="preserve">turi </w:t>
      </w:r>
      <w:r w:rsidR="004F1336" w:rsidRPr="00B806B8">
        <w:rPr>
          <w:rFonts w:ascii="Times New Roman" w:hAnsi="Times New Roman" w:cs="Times New Roman"/>
          <w:sz w:val="24"/>
          <w:szCs w:val="24"/>
        </w:rPr>
        <w:t xml:space="preserve">siekti </w:t>
      </w:r>
      <w:r w:rsidR="00E30B02" w:rsidRPr="00B806B8">
        <w:rPr>
          <w:rFonts w:ascii="Times New Roman" w:hAnsi="Times New Roman" w:cs="Times New Roman"/>
          <w:sz w:val="24"/>
          <w:szCs w:val="24"/>
        </w:rPr>
        <w:t xml:space="preserve">taršos emisijos mažinimo, </w:t>
      </w:r>
      <w:r w:rsidR="004F1336" w:rsidRPr="00B806B8">
        <w:rPr>
          <w:rFonts w:ascii="Times New Roman" w:hAnsi="Times New Roman" w:cs="Times New Roman"/>
          <w:sz w:val="24"/>
          <w:szCs w:val="24"/>
        </w:rPr>
        <w:t xml:space="preserve">užtikrinti </w:t>
      </w:r>
      <w:r w:rsidR="00A679B8" w:rsidRPr="00B806B8">
        <w:rPr>
          <w:rFonts w:ascii="Times New Roman" w:hAnsi="Times New Roman" w:cs="Times New Roman"/>
          <w:sz w:val="24"/>
          <w:szCs w:val="24"/>
        </w:rPr>
        <w:t>aukščiausius EURO emisijos standartus atitinkan</w:t>
      </w:r>
      <w:r w:rsidR="004F1336" w:rsidRPr="00B806B8">
        <w:rPr>
          <w:rFonts w:ascii="Times New Roman" w:hAnsi="Times New Roman" w:cs="Times New Roman"/>
          <w:sz w:val="24"/>
          <w:szCs w:val="24"/>
        </w:rPr>
        <w:t>čio</w:t>
      </w:r>
      <w:r w:rsidR="00A679B8" w:rsidRPr="00B806B8">
        <w:rPr>
          <w:rFonts w:ascii="Times New Roman" w:hAnsi="Times New Roman" w:cs="Times New Roman"/>
          <w:sz w:val="24"/>
          <w:szCs w:val="24"/>
        </w:rPr>
        <w:t>, energiją efektyviai naudojan</w:t>
      </w:r>
      <w:r w:rsidR="004F1336" w:rsidRPr="00B806B8">
        <w:rPr>
          <w:rFonts w:ascii="Times New Roman" w:hAnsi="Times New Roman" w:cs="Times New Roman"/>
          <w:sz w:val="24"/>
          <w:szCs w:val="24"/>
        </w:rPr>
        <w:t>čio</w:t>
      </w:r>
      <w:r w:rsidR="00A679B8" w:rsidRPr="00B806B8">
        <w:rPr>
          <w:rFonts w:ascii="Times New Roman" w:hAnsi="Times New Roman" w:cs="Times New Roman"/>
          <w:sz w:val="24"/>
          <w:szCs w:val="24"/>
        </w:rPr>
        <w:t>, ekologišk</w:t>
      </w:r>
      <w:r w:rsidR="004F1336" w:rsidRPr="00B806B8">
        <w:rPr>
          <w:rFonts w:ascii="Times New Roman" w:hAnsi="Times New Roman" w:cs="Times New Roman"/>
          <w:sz w:val="24"/>
          <w:szCs w:val="24"/>
        </w:rPr>
        <w:t>o</w:t>
      </w:r>
      <w:r w:rsidR="001D3013" w:rsidRPr="00B806B8">
        <w:rPr>
          <w:rFonts w:ascii="Times New Roman" w:hAnsi="Times New Roman" w:cs="Times New Roman"/>
          <w:sz w:val="24"/>
          <w:szCs w:val="24"/>
        </w:rPr>
        <w:t xml:space="preserve"> </w:t>
      </w:r>
      <w:r w:rsidR="004F1336" w:rsidRPr="00B806B8">
        <w:rPr>
          <w:rFonts w:ascii="Times New Roman" w:hAnsi="Times New Roman" w:cs="Times New Roman"/>
          <w:sz w:val="24"/>
          <w:szCs w:val="24"/>
        </w:rPr>
        <w:t>transporto naudojimą</w:t>
      </w:r>
      <w:r w:rsidR="00E30B02" w:rsidRPr="00B806B8">
        <w:rPr>
          <w:rFonts w:ascii="Times New Roman" w:hAnsi="Times New Roman" w:cs="Times New Roman"/>
          <w:sz w:val="24"/>
          <w:szCs w:val="24"/>
        </w:rPr>
        <w:t>.</w:t>
      </w:r>
      <w:r w:rsidR="00A679B8" w:rsidRPr="00B806B8">
        <w:rPr>
          <w:rFonts w:ascii="Times New Roman" w:hAnsi="Times New Roman" w:cs="Times New Roman"/>
          <w:sz w:val="24"/>
          <w:szCs w:val="24"/>
        </w:rPr>
        <w:t xml:space="preserve"> </w:t>
      </w:r>
      <w:r w:rsidR="008D59AE" w:rsidRPr="00B806B8">
        <w:rPr>
          <w:rFonts w:ascii="Times New Roman" w:hAnsi="Times New Roman" w:cs="Times New Roman"/>
          <w:sz w:val="24"/>
          <w:szCs w:val="24"/>
        </w:rPr>
        <w:t xml:space="preserve">Bendrovė turi siekti ne tik kokybės bei ekologijos, bet ir mažesnio energinio poreikio, </w:t>
      </w:r>
      <w:r w:rsidR="009A6D99" w:rsidRPr="00B806B8">
        <w:rPr>
          <w:rFonts w:ascii="Times New Roman" w:hAnsi="Times New Roman" w:cs="Times New Roman"/>
          <w:sz w:val="24"/>
          <w:szCs w:val="24"/>
        </w:rPr>
        <w:t xml:space="preserve">savo veikloje </w:t>
      </w:r>
      <w:r w:rsidR="008D59AE" w:rsidRPr="00B806B8">
        <w:rPr>
          <w:rFonts w:ascii="Times New Roman" w:hAnsi="Times New Roman" w:cs="Times New Roman"/>
          <w:sz w:val="24"/>
          <w:szCs w:val="24"/>
        </w:rPr>
        <w:t>naudoti energinius išteklius tausojančią in</w:t>
      </w:r>
      <w:r w:rsidR="00E30B02" w:rsidRPr="00B806B8">
        <w:rPr>
          <w:rFonts w:ascii="Times New Roman" w:hAnsi="Times New Roman" w:cs="Times New Roman"/>
          <w:sz w:val="24"/>
          <w:szCs w:val="24"/>
        </w:rPr>
        <w:t>frastruktūr</w:t>
      </w:r>
      <w:r w:rsidR="008D59AE" w:rsidRPr="00B806B8">
        <w:rPr>
          <w:rFonts w:ascii="Times New Roman" w:hAnsi="Times New Roman" w:cs="Times New Roman"/>
          <w:sz w:val="24"/>
          <w:szCs w:val="24"/>
        </w:rPr>
        <w:t xml:space="preserve">ą. </w:t>
      </w:r>
      <w:r w:rsidRPr="00B806B8">
        <w:rPr>
          <w:rFonts w:ascii="Times New Roman" w:hAnsi="Times New Roman" w:cs="Times New Roman"/>
          <w:color w:val="000000"/>
          <w:sz w:val="24"/>
          <w:szCs w:val="24"/>
        </w:rPr>
        <w:t>Bendrovė turi siekti būti socialiai atsaking</w:t>
      </w:r>
      <w:r w:rsidR="00184E15" w:rsidRPr="00B806B8">
        <w:rPr>
          <w:rFonts w:ascii="Times New Roman" w:hAnsi="Times New Roman" w:cs="Times New Roman"/>
          <w:color w:val="000000"/>
          <w:sz w:val="24"/>
          <w:szCs w:val="24"/>
        </w:rPr>
        <w:t>a ir vykdyti</w:t>
      </w:r>
      <w:r w:rsidRPr="00B806B8">
        <w:rPr>
          <w:rFonts w:ascii="Times New Roman" w:hAnsi="Times New Roman" w:cs="Times New Roman"/>
          <w:color w:val="000000"/>
          <w:sz w:val="24"/>
          <w:szCs w:val="24"/>
        </w:rPr>
        <w:t xml:space="preserve"> žaliuosius pirkimus, </w:t>
      </w:r>
      <w:r w:rsidR="00DE0A8B" w:rsidRPr="00B806B8">
        <w:rPr>
          <w:rFonts w:ascii="Times New Roman" w:hAnsi="Times New Roman" w:cs="Times New Roman"/>
          <w:color w:val="000000"/>
          <w:sz w:val="24"/>
          <w:szCs w:val="24"/>
        </w:rPr>
        <w:t xml:space="preserve">užtikrinti </w:t>
      </w:r>
      <w:r w:rsidRPr="00B806B8">
        <w:rPr>
          <w:rFonts w:ascii="Times New Roman" w:hAnsi="Times New Roman" w:cs="Times New Roman"/>
          <w:color w:val="000000"/>
          <w:sz w:val="24"/>
          <w:szCs w:val="24"/>
        </w:rPr>
        <w:t xml:space="preserve">socialiai atsakingų tiekėjų pasirinkimą. </w:t>
      </w:r>
    </w:p>
    <w:p w14:paraId="5833FC74" w14:textId="77777777" w:rsidR="00D25D3E" w:rsidRDefault="00D25D3E" w:rsidP="00473F91">
      <w:pPr>
        <w:ind w:firstLine="794"/>
        <w:jc w:val="both"/>
        <w:rPr>
          <w:b/>
          <w:bCs/>
          <w:i/>
          <w:color w:val="000000"/>
        </w:rPr>
      </w:pPr>
    </w:p>
    <w:p w14:paraId="614AF83F" w14:textId="223B4E35" w:rsidR="006E68E9" w:rsidRDefault="00363BD7" w:rsidP="00473F91">
      <w:pPr>
        <w:ind w:firstLine="794"/>
        <w:jc w:val="both"/>
        <w:rPr>
          <w:color w:val="000000"/>
        </w:rPr>
      </w:pPr>
      <w:r w:rsidRPr="00363BD7">
        <w:rPr>
          <w:b/>
          <w:bCs/>
          <w:i/>
          <w:color w:val="000000"/>
        </w:rPr>
        <w:t>Klientų aptarnavimo kokybės lūkestis</w:t>
      </w:r>
      <w:r w:rsidRPr="00363BD7">
        <w:rPr>
          <w:b/>
          <w:bCs/>
          <w:color w:val="000000"/>
        </w:rPr>
        <w:t>.</w:t>
      </w:r>
      <w:r w:rsidRPr="00363BD7">
        <w:rPr>
          <w:color w:val="000000"/>
        </w:rPr>
        <w:t xml:space="preserve"> Bendrovės veikla yra pagrįst</w:t>
      </w:r>
      <w:r w:rsidR="0025127E">
        <w:rPr>
          <w:color w:val="000000"/>
        </w:rPr>
        <w:t>a</w:t>
      </w:r>
      <w:r w:rsidRPr="00363BD7">
        <w:rPr>
          <w:color w:val="000000"/>
        </w:rPr>
        <w:t xml:space="preserve"> klientų poreikių tenkinimu, užtikrinant kokybišk</w:t>
      </w:r>
      <w:r w:rsidR="006E68E9">
        <w:rPr>
          <w:color w:val="000000"/>
        </w:rPr>
        <w:t>ų</w:t>
      </w:r>
      <w:r w:rsidR="00273D8D">
        <w:rPr>
          <w:color w:val="000000"/>
        </w:rPr>
        <w:t xml:space="preserve"> </w:t>
      </w:r>
      <w:r w:rsidRPr="00363BD7">
        <w:rPr>
          <w:color w:val="000000"/>
        </w:rPr>
        <w:t>paslaugų t</w:t>
      </w:r>
      <w:r w:rsidR="006E68E9">
        <w:rPr>
          <w:color w:val="000000"/>
        </w:rPr>
        <w:t>ei</w:t>
      </w:r>
      <w:r w:rsidRPr="00363BD7">
        <w:rPr>
          <w:color w:val="000000"/>
        </w:rPr>
        <w:t>kimą</w:t>
      </w:r>
      <w:r w:rsidR="002C223A">
        <w:rPr>
          <w:color w:val="000000"/>
        </w:rPr>
        <w:t>.</w:t>
      </w:r>
      <w:r w:rsidR="00273D8D">
        <w:rPr>
          <w:color w:val="000000"/>
        </w:rPr>
        <w:t xml:space="preserve"> </w:t>
      </w:r>
      <w:r w:rsidRPr="00363BD7">
        <w:rPr>
          <w:color w:val="000000"/>
        </w:rPr>
        <w:t xml:space="preserve">Bendrovė privalo užtikrinti </w:t>
      </w:r>
      <w:r w:rsidR="00DC723C">
        <w:rPr>
          <w:color w:val="000000"/>
        </w:rPr>
        <w:t xml:space="preserve">aukštą </w:t>
      </w:r>
      <w:r w:rsidR="008338C8">
        <w:rPr>
          <w:color w:val="000000"/>
        </w:rPr>
        <w:t xml:space="preserve">Bendrovės </w:t>
      </w:r>
      <w:r w:rsidRPr="00363BD7">
        <w:rPr>
          <w:color w:val="000000"/>
        </w:rPr>
        <w:t>klientų aptarnavim</w:t>
      </w:r>
      <w:r w:rsidR="008338C8">
        <w:rPr>
          <w:color w:val="000000"/>
        </w:rPr>
        <w:t>o</w:t>
      </w:r>
      <w:r w:rsidR="006E68E9">
        <w:rPr>
          <w:color w:val="000000"/>
        </w:rPr>
        <w:t xml:space="preserve"> ir teikiamų paslaugų kokybę.</w:t>
      </w:r>
      <w:r w:rsidRPr="00363BD7">
        <w:rPr>
          <w:color w:val="000000"/>
        </w:rPr>
        <w:t xml:space="preserve"> </w:t>
      </w:r>
      <w:r w:rsidR="00DC723C">
        <w:rPr>
          <w:color w:val="000000"/>
        </w:rPr>
        <w:t>Bendrovė</w:t>
      </w:r>
      <w:r w:rsidR="001449A6">
        <w:rPr>
          <w:color w:val="000000"/>
        </w:rPr>
        <w:t xml:space="preserve"> </w:t>
      </w:r>
      <w:r w:rsidR="00DC723C">
        <w:rPr>
          <w:color w:val="000000"/>
        </w:rPr>
        <w:t>turi</w:t>
      </w:r>
      <w:r w:rsidR="00492B2B">
        <w:rPr>
          <w:rFonts w:eastAsia="SimSun"/>
        </w:rPr>
        <w:t xml:space="preserve"> nuolat d</w:t>
      </w:r>
      <w:r w:rsidR="005F7B03" w:rsidRPr="00D731A2">
        <w:rPr>
          <w:rFonts w:eastAsia="SimSun"/>
        </w:rPr>
        <w:t xml:space="preserve">idinti </w:t>
      </w:r>
      <w:r w:rsidR="001449A6">
        <w:rPr>
          <w:rFonts w:eastAsia="SimSun"/>
        </w:rPr>
        <w:t>B</w:t>
      </w:r>
      <w:r w:rsidR="005F7B03" w:rsidRPr="00D731A2">
        <w:rPr>
          <w:rFonts w:eastAsia="SimSun"/>
        </w:rPr>
        <w:t xml:space="preserve">endrovės patrauklumą </w:t>
      </w:r>
      <w:bookmarkStart w:id="0" w:name="_Hlk88494939"/>
      <w:r w:rsidR="00492B2B">
        <w:rPr>
          <w:rFonts w:eastAsia="SimSun"/>
        </w:rPr>
        <w:t xml:space="preserve">ir </w:t>
      </w:r>
      <w:r w:rsidR="001449A6">
        <w:t>klientų pasitikėjimo indeksą.</w:t>
      </w:r>
      <w:bookmarkEnd w:id="0"/>
    </w:p>
    <w:p w14:paraId="1798FC30" w14:textId="77777777" w:rsidR="00D25D3E" w:rsidRDefault="00D25D3E" w:rsidP="007A1D59">
      <w:pPr>
        <w:ind w:firstLine="794"/>
        <w:jc w:val="both"/>
        <w:rPr>
          <w:b/>
          <w:bCs/>
          <w:i/>
          <w:color w:val="000000"/>
        </w:rPr>
      </w:pPr>
    </w:p>
    <w:p w14:paraId="142273D0" w14:textId="5D68C6A1" w:rsidR="00363BD7" w:rsidRPr="007A1D59" w:rsidRDefault="00363BD7" w:rsidP="007A1D59">
      <w:pPr>
        <w:ind w:firstLine="794"/>
        <w:jc w:val="both"/>
        <w:rPr>
          <w:color w:val="000000"/>
        </w:rPr>
      </w:pPr>
      <w:r w:rsidRPr="00363BD7">
        <w:rPr>
          <w:b/>
          <w:bCs/>
          <w:i/>
          <w:color w:val="000000"/>
        </w:rPr>
        <w:t>Darbuotojų įsitraukimo</w:t>
      </w:r>
      <w:r w:rsidR="00E93F0E">
        <w:rPr>
          <w:b/>
          <w:bCs/>
          <w:i/>
          <w:color w:val="000000"/>
        </w:rPr>
        <w:t xml:space="preserve"> </w:t>
      </w:r>
      <w:r w:rsidRPr="00363BD7">
        <w:rPr>
          <w:b/>
          <w:bCs/>
          <w:i/>
          <w:color w:val="000000"/>
        </w:rPr>
        <w:t>lūkestis</w:t>
      </w:r>
      <w:r w:rsidRPr="00363BD7">
        <w:rPr>
          <w:color w:val="000000"/>
        </w:rPr>
        <w:t> </w:t>
      </w:r>
      <w:r w:rsidRPr="00363BD7">
        <w:t>yra siejamas su aiškia, motyvuojančia bei su darbo rezultatais susieta atlygio sistema</w:t>
      </w:r>
      <w:bookmarkStart w:id="1" w:name="part_4b2b38d755ee46b3a9855323964328e0"/>
      <w:bookmarkEnd w:id="1"/>
      <w:r w:rsidRPr="00363BD7">
        <w:t xml:space="preserve"> ir darbuotojų pasitenkinimu, lojalumu ir aktyviu prisidėjimu prie Bendrovės tikslų įgyvendinimo. Bendrovė turi diegti aiškiomis vertybėmis pagrįstą vidinę kultūrą, kurdama solidų ir stiprų įvaizdį, siekti patrauklaus darbdavio reputacijos</w:t>
      </w:r>
      <w:r w:rsidR="00BC769A">
        <w:t xml:space="preserve">, darbuotojų gerovės, darbo kokybės tobulinimo. </w:t>
      </w:r>
      <w:r w:rsidRPr="00363BD7">
        <w:rPr>
          <w:shd w:val="clear" w:color="auto" w:fill="FFFFFF"/>
        </w:rPr>
        <w:t>Darbuotojų įsitraukimas į darbą turi teigiamos įtakos darbuotojų darbo atlikimo kokybei, pasitenkinimui darbu, proaktyviam elgesiui ir lojalumui Bendrovei.</w:t>
      </w:r>
      <w:r w:rsidRPr="00363BD7">
        <w:t xml:space="preserve"> </w:t>
      </w:r>
    </w:p>
    <w:p w14:paraId="61F897DA" w14:textId="77777777" w:rsidR="00D25D3E" w:rsidRDefault="00D25D3E" w:rsidP="00E27B9F">
      <w:pPr>
        <w:ind w:firstLine="794"/>
        <w:jc w:val="both"/>
        <w:rPr>
          <w:b/>
          <w:bCs/>
          <w:i/>
          <w:iCs/>
        </w:rPr>
      </w:pPr>
    </w:p>
    <w:p w14:paraId="08C1ADC2" w14:textId="630F6DEA" w:rsidR="002B0B2C" w:rsidRPr="00D34D67" w:rsidRDefault="002B0B2C" w:rsidP="00E27B9F">
      <w:pPr>
        <w:ind w:firstLine="794"/>
        <w:jc w:val="both"/>
      </w:pPr>
      <w:r w:rsidRPr="00D731A2">
        <w:rPr>
          <w:b/>
          <w:bCs/>
          <w:i/>
          <w:iCs/>
        </w:rPr>
        <w:t>Lyderystės lūkestis</w:t>
      </w:r>
      <w:r>
        <w:rPr>
          <w:b/>
          <w:bCs/>
          <w:i/>
          <w:iCs/>
        </w:rPr>
        <w:t xml:space="preserve"> </w:t>
      </w:r>
      <w:r w:rsidRPr="00D731A2">
        <w:t xml:space="preserve">siejamas su Bendrovės tikslu būti </w:t>
      </w:r>
      <w:r w:rsidR="00D3428F">
        <w:t xml:space="preserve">regiono (šalies) </w:t>
      </w:r>
      <w:r w:rsidR="007B3B14" w:rsidRPr="00D731A2">
        <w:t xml:space="preserve">rinkoje lyderiaujančia </w:t>
      </w:r>
      <w:r w:rsidR="007B3B14">
        <w:t xml:space="preserve">viešojo transporto paslaugas teikiančia </w:t>
      </w:r>
      <w:r w:rsidR="00D3428F">
        <w:t xml:space="preserve">Bendrove. </w:t>
      </w:r>
      <w:r w:rsidR="000B3953">
        <w:t>Patikima</w:t>
      </w:r>
      <w:r w:rsidR="00E27B9F">
        <w:t xml:space="preserve">, patraukli ir </w:t>
      </w:r>
      <w:r w:rsidR="000B3953">
        <w:t>konkurencinga</w:t>
      </w:r>
      <w:r w:rsidR="00E27B9F">
        <w:t>,</w:t>
      </w:r>
      <w:r w:rsidR="005021E5">
        <w:t xml:space="preserve"> </w:t>
      </w:r>
      <w:r w:rsidR="00AF7F94">
        <w:t>inovatyvi</w:t>
      </w:r>
      <w:r w:rsidR="000B3953">
        <w:t xml:space="preserve"> ir moderni, </w:t>
      </w:r>
      <w:r w:rsidR="00AF7F94">
        <w:t xml:space="preserve">kurianti ekonominę </w:t>
      </w:r>
      <w:r w:rsidR="00E27B9F">
        <w:t xml:space="preserve">ir socialinę </w:t>
      </w:r>
      <w:r w:rsidR="00AF7F94">
        <w:t>pridėtinę vert</w:t>
      </w:r>
      <w:r w:rsidR="00E27B9F">
        <w:t>ę.</w:t>
      </w:r>
    </w:p>
    <w:p w14:paraId="5AA2B80F" w14:textId="77777777" w:rsidR="00D25D3E" w:rsidRDefault="00D25D3E" w:rsidP="00E401A1">
      <w:pPr>
        <w:ind w:firstLine="720"/>
        <w:jc w:val="both"/>
        <w:rPr>
          <w:b/>
          <w:bCs/>
          <w:i/>
          <w:color w:val="000000"/>
        </w:rPr>
      </w:pPr>
    </w:p>
    <w:p w14:paraId="0ADC4FAE" w14:textId="77777777" w:rsidR="00D25D3E" w:rsidRPr="00547A2F" w:rsidRDefault="00363BD7" w:rsidP="00D25D3E">
      <w:pPr>
        <w:ind w:firstLine="794"/>
        <w:jc w:val="both"/>
      </w:pPr>
      <w:r w:rsidRPr="00363BD7">
        <w:rPr>
          <w:b/>
          <w:bCs/>
          <w:i/>
          <w:color w:val="000000"/>
        </w:rPr>
        <w:t>Valdysenos lūkestis.</w:t>
      </w:r>
      <w:r w:rsidRPr="00363BD7">
        <w:t xml:space="preserve"> </w:t>
      </w:r>
      <w:r w:rsidR="00D25D3E">
        <w:t xml:space="preserve">Akcininkas tikisi, kad Bendrovės vadovybė ir jos valdymo organai </w:t>
      </w:r>
      <w:r w:rsidR="00D25D3E" w:rsidRPr="00EA2DA8">
        <w:rPr>
          <w:lang w:eastAsia="lt-LT"/>
        </w:rPr>
        <w:t xml:space="preserve">aiškiai supranta </w:t>
      </w:r>
      <w:r w:rsidR="00D25D3E">
        <w:rPr>
          <w:lang w:eastAsia="lt-LT"/>
        </w:rPr>
        <w:t>Bendrovės</w:t>
      </w:r>
      <w:r w:rsidR="00D25D3E" w:rsidRPr="00EA2DA8">
        <w:rPr>
          <w:lang w:eastAsia="lt-LT"/>
        </w:rPr>
        <w:t xml:space="preserve"> veiklos </w:t>
      </w:r>
      <w:r w:rsidR="00D25D3E">
        <w:rPr>
          <w:lang w:eastAsia="lt-LT"/>
        </w:rPr>
        <w:t xml:space="preserve">svarbą ir </w:t>
      </w:r>
      <w:r w:rsidR="00D25D3E" w:rsidRPr="00EA2DA8">
        <w:rPr>
          <w:lang w:eastAsia="lt-LT"/>
        </w:rPr>
        <w:t>reikšmingumą viešajam interesui</w:t>
      </w:r>
      <w:r w:rsidR="00D25D3E">
        <w:rPr>
          <w:lang w:eastAsia="lt-LT"/>
        </w:rPr>
        <w:t xml:space="preserve">, </w:t>
      </w:r>
      <w:r w:rsidR="00D25D3E">
        <w:t>turi</w:t>
      </w:r>
      <w:r w:rsidR="00D25D3E" w:rsidRPr="00C56FB8">
        <w:t xml:space="preserve"> veikti tinkamai, </w:t>
      </w:r>
      <w:r w:rsidR="00D25D3E">
        <w:t xml:space="preserve">objektyviai, </w:t>
      </w:r>
      <w:r w:rsidR="00D25D3E" w:rsidRPr="00C56FB8">
        <w:t>efektyviai ir ekonomiškai</w:t>
      </w:r>
      <w:r w:rsidR="00D25D3E">
        <w:t xml:space="preserve">, vadovaujantis sąžiningumo, protingumo ir gerosios valdysenos principais, </w:t>
      </w:r>
      <w:r w:rsidR="00D25D3E" w:rsidRPr="00C56FB8">
        <w:t>vykdyti savo pareigas pagal aukščiausius profesionalumo</w:t>
      </w:r>
      <w:r w:rsidR="00D25D3E">
        <w:t xml:space="preserve">, moralės </w:t>
      </w:r>
      <w:r w:rsidR="00D25D3E" w:rsidRPr="00C56FB8">
        <w:t>ir skaidrumo standartus, veik</w:t>
      </w:r>
      <w:r w:rsidR="00D25D3E">
        <w:t>ti</w:t>
      </w:r>
      <w:r w:rsidR="00D25D3E" w:rsidRPr="00C56FB8">
        <w:t xml:space="preserve"> Bendrovės ir Bendrovės akcinink</w:t>
      </w:r>
      <w:r w:rsidR="00D25D3E">
        <w:t>o (-</w:t>
      </w:r>
      <w:r w:rsidR="00D25D3E" w:rsidRPr="00C56FB8">
        <w:t>ų</w:t>
      </w:r>
      <w:r w:rsidR="00D25D3E">
        <w:t>)</w:t>
      </w:r>
      <w:r w:rsidR="00D25D3E" w:rsidRPr="00C56FB8">
        <w:t xml:space="preserve"> naudai</w:t>
      </w:r>
      <w:r w:rsidR="00D25D3E">
        <w:t xml:space="preserve">, </w:t>
      </w:r>
      <w:r w:rsidR="00D25D3E" w:rsidRPr="00C56FB8">
        <w:t>siek</w:t>
      </w:r>
      <w:r w:rsidR="00D25D3E">
        <w:t>ti</w:t>
      </w:r>
      <w:r w:rsidR="00D25D3E" w:rsidRPr="00C56FB8">
        <w:t xml:space="preserve"> Bendrovės įstatuose, Akcininko lūkesčių rašte bei kituose Bendrovės vidaus dokumentuose įtvirtintų Bendrovės veiklos tikslų</w:t>
      </w:r>
      <w:r w:rsidR="00D25D3E">
        <w:t xml:space="preserve">, </w:t>
      </w:r>
      <w:r w:rsidR="00D25D3E" w:rsidRPr="00EA2DA8">
        <w:rPr>
          <w:lang w:eastAsia="lt-LT"/>
        </w:rPr>
        <w:t>visais įmanomais būdais vengti viešųjų ir privačiųjų interesų konflikto.</w:t>
      </w:r>
    </w:p>
    <w:p w14:paraId="40E973FE" w14:textId="0515451F" w:rsidR="00D25D3E" w:rsidRDefault="00D25D3E" w:rsidP="00D25D3E">
      <w:pPr>
        <w:ind w:firstLine="794"/>
        <w:jc w:val="both"/>
      </w:pPr>
      <w:bookmarkStart w:id="2" w:name="_Hlk142650000"/>
      <w:r w:rsidRPr="00D053EF">
        <w:t>Bendrovės kolegial</w:t>
      </w:r>
      <w:r>
        <w:t>u</w:t>
      </w:r>
      <w:r w:rsidRPr="00D053EF">
        <w:t xml:space="preserve">s </w:t>
      </w:r>
      <w:r>
        <w:t xml:space="preserve">valdymo </w:t>
      </w:r>
      <w:r w:rsidRPr="00D053EF">
        <w:t>organa</w:t>
      </w:r>
      <w:r>
        <w:t xml:space="preserve">s </w:t>
      </w:r>
      <w:r w:rsidRPr="00D053EF">
        <w:t>turi rengti savo veiklos metin</w:t>
      </w:r>
      <w:r>
        <w:t>į</w:t>
      </w:r>
      <w:r w:rsidRPr="00D053EF">
        <w:t xml:space="preserve"> plan</w:t>
      </w:r>
      <w:r>
        <w:t>ą</w:t>
      </w:r>
      <w:r w:rsidRPr="00D053EF">
        <w:t>, atlikti metin</w:t>
      </w:r>
      <w:r>
        <w:t>į</w:t>
      </w:r>
      <w:r w:rsidRPr="00D053EF">
        <w:t xml:space="preserve"> savo veiklos vertini</w:t>
      </w:r>
      <w:r>
        <w:t xml:space="preserve">mą, </w:t>
      </w:r>
      <w:r w:rsidRPr="00D053EF">
        <w:t>rengti savo veiklos metin</w:t>
      </w:r>
      <w:r>
        <w:t>ę</w:t>
      </w:r>
      <w:r w:rsidRPr="00D053EF">
        <w:t xml:space="preserve"> ataskait</w:t>
      </w:r>
      <w:r>
        <w:t xml:space="preserve">ą, veiklos tobulinimo planą. Kolegialaus organo pirmininkas turi užtikrinti ir valdyti savalaikį kolegialaus organo narių privačių interesų deklaravimo, duomenų atnaujinimo deklaracijose procesą, pasikeitus duomenims </w:t>
      </w:r>
      <w:r w:rsidR="00896ECD">
        <w:t>–</w:t>
      </w:r>
      <w:r>
        <w:t xml:space="preserve"> įvertinti </w:t>
      </w:r>
      <w:r w:rsidRPr="00263B36">
        <w:t xml:space="preserve">nepriklausomų </w:t>
      </w:r>
      <w:r>
        <w:t>kolegialaus organo</w:t>
      </w:r>
      <w:r w:rsidRPr="00263B36">
        <w:t xml:space="preserve"> narių atiti</w:t>
      </w:r>
      <w:r>
        <w:t>kimą</w:t>
      </w:r>
      <w:r w:rsidRPr="00263B36">
        <w:t xml:space="preserve"> nepriklausomumo reikalavimams</w:t>
      </w:r>
      <w:r>
        <w:t>,</w:t>
      </w:r>
      <w:r w:rsidRPr="00263B36">
        <w:t xml:space="preserve"> nustatytiems </w:t>
      </w:r>
      <w:r>
        <w:t>Lietuvos Respublikos valstybės ir savivaldybių turto valdymo, naudojimo ir disponavimo juo įstatymo 23</w:t>
      </w:r>
      <w:r w:rsidRPr="00DB70D1">
        <w:rPr>
          <w:vertAlign w:val="superscript"/>
        </w:rPr>
        <w:t>1</w:t>
      </w:r>
      <w:r>
        <w:t xml:space="preserve"> straipsnyje.</w:t>
      </w:r>
    </w:p>
    <w:bookmarkEnd w:id="2"/>
    <w:p w14:paraId="5713B070" w14:textId="1D387C05" w:rsidR="00D25D3E" w:rsidRDefault="00D25D3E" w:rsidP="00D25D3E">
      <w:pPr>
        <w:ind w:firstLine="794"/>
        <w:jc w:val="both"/>
      </w:pPr>
      <w:r w:rsidRPr="00D053EF">
        <w:t>Bendrovės valdymo organai turi užtikrinti kokybiško Bendrovės metinio pranešimo (</w:t>
      </w:r>
      <w:r>
        <w:t xml:space="preserve">metinės </w:t>
      </w:r>
      <w:r w:rsidRPr="00D053EF">
        <w:t xml:space="preserve">veiklos ataskaitos) parengimą, atitinkantį </w:t>
      </w:r>
      <w:r w:rsidRPr="00D053EF">
        <w:rPr>
          <w:color w:val="000000"/>
        </w:rPr>
        <w:t>buhalterinę apskaitą ir finansinę atskaitomybę reglamentuojančių teisės aktų reikalavimus</w:t>
      </w:r>
      <w:r w:rsidRPr="00D053EF">
        <w:t>, Skaidrumo gairių nuostatas bei atsižvelgiant į gerosios valdysenos rekomendacijas, Valdymo koordinavimo centro nustatytas metinio pranešimo (metinės veiklos ataskaitos) vertinamas sritis.</w:t>
      </w:r>
      <w:r>
        <w:t xml:space="preserve"> </w:t>
      </w:r>
    </w:p>
    <w:p w14:paraId="1AFA9998" w14:textId="1AE32487" w:rsidR="00B32460" w:rsidRDefault="00B32460" w:rsidP="00D25D3E">
      <w:pPr>
        <w:ind w:firstLine="794"/>
        <w:jc w:val="both"/>
      </w:pPr>
    </w:p>
    <w:p w14:paraId="16FD0D63" w14:textId="77777777" w:rsidR="00B32460" w:rsidRDefault="00B32460" w:rsidP="00D25D3E">
      <w:pPr>
        <w:ind w:firstLine="794"/>
        <w:jc w:val="both"/>
      </w:pPr>
    </w:p>
    <w:p w14:paraId="27A71B9B" w14:textId="77777777" w:rsidR="00325EFB" w:rsidRDefault="00325EFB" w:rsidP="0078596C">
      <w:pPr>
        <w:rPr>
          <w:caps/>
        </w:rPr>
      </w:pPr>
    </w:p>
    <w:p w14:paraId="113189DF" w14:textId="5059DEC4" w:rsidR="00E93F0E" w:rsidRDefault="00E93F0E" w:rsidP="00DF4CC5">
      <w:pPr>
        <w:jc w:val="center"/>
        <w:rPr>
          <w:b/>
          <w:caps/>
        </w:rPr>
      </w:pPr>
      <w:r w:rsidRPr="00DF4CC5">
        <w:rPr>
          <w:b/>
          <w:caps/>
        </w:rPr>
        <w:lastRenderedPageBreak/>
        <w:t>Nefinansinių lūkesčių vertinimo rodikliai</w:t>
      </w:r>
    </w:p>
    <w:p w14:paraId="22C3F632" w14:textId="77777777" w:rsidR="00DF4CC5" w:rsidRPr="00DF4CC5" w:rsidRDefault="00DF4CC5" w:rsidP="00DF4CC5">
      <w:pPr>
        <w:jc w:val="center"/>
        <w:rPr>
          <w:b/>
          <w:caps/>
        </w:rPr>
      </w:pPr>
    </w:p>
    <w:tbl>
      <w:tblPr>
        <w:tblW w:w="9628" w:type="dxa"/>
        <w:jc w:val="center"/>
        <w:tblLook w:val="04A0" w:firstRow="1" w:lastRow="0" w:firstColumn="1" w:lastColumn="0" w:noHBand="0" w:noVBand="1"/>
      </w:tblPr>
      <w:tblGrid>
        <w:gridCol w:w="622"/>
        <w:gridCol w:w="3060"/>
        <w:gridCol w:w="1094"/>
        <w:gridCol w:w="958"/>
        <w:gridCol w:w="993"/>
        <w:gridCol w:w="992"/>
        <w:gridCol w:w="980"/>
        <w:gridCol w:w="929"/>
      </w:tblGrid>
      <w:tr w:rsidR="00867418" w:rsidRPr="00F52CAE" w14:paraId="4DE14B44" w14:textId="52BDDB97" w:rsidTr="00AB055C">
        <w:trPr>
          <w:trHeight w:val="240"/>
          <w:jc w:val="center"/>
        </w:trPr>
        <w:tc>
          <w:tcPr>
            <w:tcW w:w="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2EFC7" w14:textId="77777777" w:rsidR="00A64BB1" w:rsidRPr="00F52CAE" w:rsidRDefault="00A64BB1" w:rsidP="00333C18">
            <w:pPr>
              <w:jc w:val="center"/>
              <w:rPr>
                <w:b/>
                <w:bCs/>
                <w:color w:val="000000"/>
                <w:sz w:val="20"/>
                <w:szCs w:val="20"/>
              </w:rPr>
            </w:pPr>
            <w:r w:rsidRPr="00F52CAE">
              <w:rPr>
                <w:b/>
                <w:bCs/>
                <w:color w:val="000000"/>
                <w:sz w:val="20"/>
                <w:szCs w:val="20"/>
              </w:rPr>
              <w:t>Eil. Nr.</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56EE0" w14:textId="77777777" w:rsidR="00A64BB1" w:rsidRPr="00F52CAE" w:rsidRDefault="00A64BB1" w:rsidP="00333C18">
            <w:pPr>
              <w:jc w:val="center"/>
              <w:rPr>
                <w:b/>
                <w:bCs/>
                <w:color w:val="000000"/>
                <w:sz w:val="20"/>
                <w:szCs w:val="20"/>
              </w:rPr>
            </w:pPr>
            <w:r w:rsidRPr="00F52CAE">
              <w:rPr>
                <w:b/>
                <w:bCs/>
                <w:color w:val="000000"/>
                <w:sz w:val="20"/>
                <w:szCs w:val="20"/>
              </w:rPr>
              <w:t>Siektini veiklos rodikliai</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EB4917" w14:textId="77777777" w:rsidR="00A64BB1" w:rsidRPr="00F52CAE" w:rsidRDefault="00A64BB1" w:rsidP="00333C18">
            <w:pPr>
              <w:jc w:val="center"/>
              <w:rPr>
                <w:b/>
                <w:bCs/>
                <w:color w:val="000000"/>
                <w:sz w:val="20"/>
                <w:szCs w:val="20"/>
              </w:rPr>
            </w:pPr>
            <w:r w:rsidRPr="00F52CAE">
              <w:rPr>
                <w:b/>
                <w:bCs/>
                <w:color w:val="000000"/>
                <w:sz w:val="20"/>
                <w:szCs w:val="20"/>
              </w:rPr>
              <w:t xml:space="preserve">Matavimo vienetas </w:t>
            </w:r>
          </w:p>
        </w:tc>
        <w:tc>
          <w:tcPr>
            <w:tcW w:w="4852" w:type="dxa"/>
            <w:gridSpan w:val="5"/>
            <w:tcBorders>
              <w:top w:val="single" w:sz="4" w:space="0" w:color="auto"/>
              <w:left w:val="nil"/>
              <w:bottom w:val="single" w:sz="4" w:space="0" w:color="auto"/>
              <w:right w:val="single" w:sz="4" w:space="0" w:color="auto"/>
            </w:tcBorders>
            <w:shd w:val="clear" w:color="auto" w:fill="auto"/>
            <w:vAlign w:val="center"/>
            <w:hideMark/>
          </w:tcPr>
          <w:p w14:paraId="589E0F63" w14:textId="302D81EE" w:rsidR="00A64BB1" w:rsidRPr="00F52CAE" w:rsidRDefault="00A64BB1" w:rsidP="00333C18">
            <w:pPr>
              <w:jc w:val="center"/>
              <w:rPr>
                <w:b/>
                <w:bCs/>
                <w:color w:val="000000"/>
                <w:sz w:val="20"/>
                <w:szCs w:val="20"/>
              </w:rPr>
            </w:pPr>
            <w:r w:rsidRPr="00F52CAE">
              <w:rPr>
                <w:b/>
                <w:bCs/>
                <w:color w:val="000000"/>
                <w:sz w:val="20"/>
                <w:szCs w:val="20"/>
              </w:rPr>
              <w:t>Siektinos rodiklių reikšmės</w:t>
            </w:r>
          </w:p>
        </w:tc>
      </w:tr>
      <w:tr w:rsidR="00867418" w:rsidRPr="00F52CAE" w14:paraId="31CDB2DE" w14:textId="42C13982" w:rsidTr="00AB055C">
        <w:trPr>
          <w:trHeight w:val="230"/>
          <w:jc w:val="center"/>
        </w:trPr>
        <w:tc>
          <w:tcPr>
            <w:tcW w:w="622" w:type="dxa"/>
            <w:vMerge/>
            <w:tcBorders>
              <w:top w:val="single" w:sz="4" w:space="0" w:color="auto"/>
              <w:left w:val="single" w:sz="4" w:space="0" w:color="auto"/>
              <w:bottom w:val="single" w:sz="4" w:space="0" w:color="auto"/>
              <w:right w:val="single" w:sz="4" w:space="0" w:color="auto"/>
            </w:tcBorders>
            <w:vAlign w:val="center"/>
            <w:hideMark/>
          </w:tcPr>
          <w:p w14:paraId="57114F63" w14:textId="77777777" w:rsidR="001A3952" w:rsidRPr="00F52CAE" w:rsidRDefault="001A3952" w:rsidP="00333C18">
            <w:pPr>
              <w:rPr>
                <w:b/>
                <w:bCs/>
                <w:color w:val="000000"/>
                <w:sz w:val="20"/>
                <w:szCs w:val="20"/>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4E1F6114" w14:textId="77777777" w:rsidR="001A3952" w:rsidRPr="00F52CAE" w:rsidRDefault="001A3952" w:rsidP="00333C18">
            <w:pPr>
              <w:rPr>
                <w:b/>
                <w:bCs/>
                <w:color w:val="000000"/>
                <w:sz w:val="20"/>
                <w:szCs w:val="20"/>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24DC2D7C" w14:textId="77777777" w:rsidR="001A3952" w:rsidRPr="00F52CAE" w:rsidRDefault="001A3952" w:rsidP="00333C18">
            <w:pPr>
              <w:rPr>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14:paraId="2DC9B322" w14:textId="0965E802" w:rsidR="001A3952" w:rsidRPr="00F52CAE" w:rsidRDefault="001A3952" w:rsidP="00333C18">
            <w:pPr>
              <w:jc w:val="center"/>
              <w:rPr>
                <w:b/>
                <w:bCs/>
                <w:color w:val="000000"/>
                <w:sz w:val="20"/>
                <w:szCs w:val="20"/>
              </w:rPr>
            </w:pPr>
            <w:r w:rsidRPr="00F52CAE">
              <w:rPr>
                <w:b/>
                <w:bCs/>
                <w:color w:val="000000"/>
                <w:sz w:val="20"/>
                <w:szCs w:val="20"/>
              </w:rPr>
              <w:t>2024 m.</w:t>
            </w:r>
          </w:p>
        </w:tc>
        <w:tc>
          <w:tcPr>
            <w:tcW w:w="993" w:type="dxa"/>
            <w:tcBorders>
              <w:top w:val="nil"/>
              <w:left w:val="nil"/>
              <w:bottom w:val="single" w:sz="4" w:space="0" w:color="auto"/>
              <w:right w:val="single" w:sz="4" w:space="0" w:color="auto"/>
            </w:tcBorders>
            <w:shd w:val="clear" w:color="auto" w:fill="auto"/>
            <w:noWrap/>
            <w:vAlign w:val="center"/>
            <w:hideMark/>
          </w:tcPr>
          <w:p w14:paraId="2DE9E4F6" w14:textId="149407FC" w:rsidR="001A3952" w:rsidRPr="00F52CAE" w:rsidRDefault="001A3952" w:rsidP="00333C18">
            <w:pPr>
              <w:jc w:val="center"/>
              <w:rPr>
                <w:b/>
                <w:color w:val="000000"/>
                <w:sz w:val="20"/>
                <w:szCs w:val="20"/>
              </w:rPr>
            </w:pPr>
            <w:r w:rsidRPr="00F52CAE">
              <w:rPr>
                <w:b/>
                <w:color w:val="000000"/>
                <w:sz w:val="20"/>
                <w:szCs w:val="20"/>
              </w:rPr>
              <w:t>2025 m.</w:t>
            </w:r>
          </w:p>
        </w:tc>
        <w:tc>
          <w:tcPr>
            <w:tcW w:w="992" w:type="dxa"/>
            <w:tcBorders>
              <w:top w:val="nil"/>
              <w:left w:val="nil"/>
              <w:bottom w:val="single" w:sz="4" w:space="0" w:color="auto"/>
              <w:right w:val="single" w:sz="4" w:space="0" w:color="auto"/>
            </w:tcBorders>
            <w:shd w:val="clear" w:color="auto" w:fill="auto"/>
            <w:noWrap/>
            <w:vAlign w:val="center"/>
            <w:hideMark/>
          </w:tcPr>
          <w:p w14:paraId="01018165" w14:textId="25DE816E" w:rsidR="001A3952" w:rsidRPr="00F52CAE" w:rsidRDefault="001A3952" w:rsidP="00333C18">
            <w:pPr>
              <w:jc w:val="center"/>
              <w:rPr>
                <w:b/>
                <w:color w:val="000000"/>
                <w:sz w:val="20"/>
                <w:szCs w:val="20"/>
              </w:rPr>
            </w:pPr>
            <w:r w:rsidRPr="00F52CAE">
              <w:rPr>
                <w:b/>
                <w:color w:val="000000"/>
                <w:sz w:val="20"/>
                <w:szCs w:val="20"/>
              </w:rPr>
              <w:t>2026 m.</w:t>
            </w:r>
          </w:p>
        </w:tc>
        <w:tc>
          <w:tcPr>
            <w:tcW w:w="980" w:type="dxa"/>
            <w:tcBorders>
              <w:top w:val="nil"/>
              <w:left w:val="nil"/>
              <w:bottom w:val="single" w:sz="4" w:space="0" w:color="auto"/>
              <w:right w:val="single" w:sz="4" w:space="0" w:color="auto"/>
            </w:tcBorders>
          </w:tcPr>
          <w:p w14:paraId="1B9BED43" w14:textId="4D615CF9" w:rsidR="001A3952" w:rsidRPr="00F52CAE" w:rsidRDefault="001A3952" w:rsidP="00333C18">
            <w:pPr>
              <w:jc w:val="center"/>
              <w:rPr>
                <w:b/>
                <w:color w:val="000000"/>
                <w:sz w:val="20"/>
                <w:szCs w:val="20"/>
              </w:rPr>
            </w:pPr>
            <w:r w:rsidRPr="00F52CAE">
              <w:rPr>
                <w:b/>
                <w:color w:val="000000"/>
                <w:sz w:val="20"/>
                <w:szCs w:val="20"/>
              </w:rPr>
              <w:t>2027 m.</w:t>
            </w:r>
          </w:p>
        </w:tc>
        <w:tc>
          <w:tcPr>
            <w:tcW w:w="929" w:type="dxa"/>
            <w:tcBorders>
              <w:top w:val="nil"/>
              <w:left w:val="nil"/>
              <w:bottom w:val="single" w:sz="4" w:space="0" w:color="auto"/>
              <w:right w:val="single" w:sz="4" w:space="0" w:color="auto"/>
            </w:tcBorders>
          </w:tcPr>
          <w:p w14:paraId="09C80353" w14:textId="0619CED1" w:rsidR="001A3952" w:rsidRPr="00F52CAE" w:rsidRDefault="001A3952" w:rsidP="00333C18">
            <w:pPr>
              <w:jc w:val="center"/>
              <w:rPr>
                <w:b/>
                <w:color w:val="000000"/>
                <w:sz w:val="20"/>
                <w:szCs w:val="20"/>
              </w:rPr>
            </w:pPr>
            <w:r w:rsidRPr="00F52CAE">
              <w:rPr>
                <w:b/>
                <w:color w:val="000000"/>
                <w:sz w:val="20"/>
                <w:szCs w:val="20"/>
              </w:rPr>
              <w:t>2028 m.</w:t>
            </w:r>
          </w:p>
        </w:tc>
      </w:tr>
      <w:tr w:rsidR="00867418" w:rsidRPr="00F52CAE" w14:paraId="22FCFB11" w14:textId="59344B7C" w:rsidTr="00F52CAE">
        <w:trPr>
          <w:trHeight w:val="772"/>
          <w:jc w:val="center"/>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B53CAD0" w14:textId="77777777" w:rsidR="001A3952" w:rsidRPr="00F52CAE" w:rsidRDefault="001A3952" w:rsidP="002C5C8D">
            <w:pPr>
              <w:jc w:val="center"/>
              <w:rPr>
                <w:color w:val="000000"/>
                <w:sz w:val="20"/>
                <w:szCs w:val="20"/>
              </w:rPr>
            </w:pPr>
            <w:r w:rsidRPr="00F52CAE">
              <w:rPr>
                <w:color w:val="000000"/>
                <w:sz w:val="20"/>
                <w:szCs w:val="20"/>
              </w:rPr>
              <w:t>1.</w:t>
            </w:r>
          </w:p>
        </w:tc>
        <w:tc>
          <w:tcPr>
            <w:tcW w:w="3060" w:type="dxa"/>
            <w:tcBorders>
              <w:top w:val="nil"/>
              <w:left w:val="nil"/>
              <w:bottom w:val="single" w:sz="4" w:space="0" w:color="auto"/>
              <w:right w:val="single" w:sz="4" w:space="0" w:color="auto"/>
            </w:tcBorders>
            <w:shd w:val="clear" w:color="auto" w:fill="auto"/>
            <w:noWrap/>
            <w:vAlign w:val="center"/>
          </w:tcPr>
          <w:p w14:paraId="18985C94" w14:textId="13463429" w:rsidR="001A3952" w:rsidRPr="00F52CAE" w:rsidRDefault="001A3952" w:rsidP="002C5C8D">
            <w:pPr>
              <w:jc w:val="center"/>
              <w:rPr>
                <w:sz w:val="20"/>
                <w:szCs w:val="20"/>
              </w:rPr>
            </w:pPr>
            <w:r w:rsidRPr="00F52CAE">
              <w:rPr>
                <w:sz w:val="20"/>
                <w:szCs w:val="20"/>
              </w:rPr>
              <w:t>Miesto maršrutų</w:t>
            </w:r>
            <w:r w:rsidR="002E5CFA" w:rsidRPr="00F52CAE">
              <w:rPr>
                <w:sz w:val="20"/>
                <w:szCs w:val="20"/>
              </w:rPr>
              <w:t xml:space="preserve"> aptarnavimui Bendrovėje</w:t>
            </w:r>
            <w:r w:rsidRPr="00F52CAE">
              <w:rPr>
                <w:sz w:val="20"/>
                <w:szCs w:val="20"/>
              </w:rPr>
              <w:t xml:space="preserve"> naudojamų autobusų, varomų ekologišku kuru (su ne žemesnės nei EURO-</w:t>
            </w:r>
            <w:r w:rsidR="002E5CFA" w:rsidRPr="00F52CAE">
              <w:rPr>
                <w:sz w:val="20"/>
                <w:szCs w:val="20"/>
              </w:rPr>
              <w:t>6</w:t>
            </w:r>
            <w:r w:rsidRPr="00F52CAE">
              <w:rPr>
                <w:sz w:val="20"/>
                <w:szCs w:val="20"/>
              </w:rPr>
              <w:t xml:space="preserve"> ekologinės klasės varikliais), dalis</w:t>
            </w:r>
          </w:p>
        </w:tc>
        <w:tc>
          <w:tcPr>
            <w:tcW w:w="1094" w:type="dxa"/>
            <w:tcBorders>
              <w:top w:val="nil"/>
              <w:left w:val="nil"/>
              <w:bottom w:val="single" w:sz="4" w:space="0" w:color="auto"/>
              <w:right w:val="single" w:sz="4" w:space="0" w:color="auto"/>
            </w:tcBorders>
            <w:shd w:val="clear" w:color="auto" w:fill="auto"/>
            <w:noWrap/>
            <w:vAlign w:val="center"/>
          </w:tcPr>
          <w:p w14:paraId="28244ED1" w14:textId="15821134" w:rsidR="001A3952" w:rsidRPr="00F52CAE" w:rsidRDefault="001A3952" w:rsidP="002C5C8D">
            <w:pPr>
              <w:jc w:val="center"/>
              <w:rPr>
                <w:sz w:val="20"/>
                <w:szCs w:val="20"/>
              </w:rPr>
            </w:pPr>
            <w:r w:rsidRPr="00F52CAE">
              <w:rPr>
                <w:sz w:val="20"/>
                <w:szCs w:val="20"/>
              </w:rPr>
              <w:t>Proc.</w:t>
            </w:r>
          </w:p>
        </w:tc>
        <w:tc>
          <w:tcPr>
            <w:tcW w:w="958" w:type="dxa"/>
            <w:tcBorders>
              <w:top w:val="nil"/>
              <w:left w:val="nil"/>
              <w:bottom w:val="single" w:sz="4" w:space="0" w:color="auto"/>
              <w:right w:val="single" w:sz="4" w:space="0" w:color="auto"/>
            </w:tcBorders>
            <w:shd w:val="clear" w:color="auto" w:fill="auto"/>
            <w:vAlign w:val="center"/>
          </w:tcPr>
          <w:p w14:paraId="13F0727C" w14:textId="3640CE16" w:rsidR="001A3952" w:rsidRPr="00F52CAE" w:rsidRDefault="001A3952" w:rsidP="00F52CAE">
            <w:pPr>
              <w:jc w:val="center"/>
              <w:rPr>
                <w:sz w:val="20"/>
                <w:szCs w:val="20"/>
              </w:rPr>
            </w:pPr>
            <w:r w:rsidRPr="00F52CAE">
              <w:rPr>
                <w:sz w:val="20"/>
                <w:szCs w:val="20"/>
              </w:rPr>
              <w:t>≥</w:t>
            </w:r>
            <w:r w:rsidR="002E5CFA" w:rsidRPr="00F52CAE">
              <w:rPr>
                <w:sz w:val="20"/>
                <w:szCs w:val="20"/>
              </w:rPr>
              <w:t>60</w:t>
            </w:r>
          </w:p>
        </w:tc>
        <w:tc>
          <w:tcPr>
            <w:tcW w:w="993" w:type="dxa"/>
            <w:tcBorders>
              <w:top w:val="nil"/>
              <w:left w:val="nil"/>
              <w:bottom w:val="single" w:sz="4" w:space="0" w:color="auto"/>
              <w:right w:val="single" w:sz="4" w:space="0" w:color="auto"/>
            </w:tcBorders>
            <w:shd w:val="clear" w:color="auto" w:fill="auto"/>
            <w:vAlign w:val="center"/>
          </w:tcPr>
          <w:p w14:paraId="0A64A843" w14:textId="589B1888" w:rsidR="001A3952" w:rsidRPr="00F52CAE" w:rsidRDefault="001A3952" w:rsidP="00F52CAE">
            <w:pPr>
              <w:jc w:val="center"/>
              <w:rPr>
                <w:sz w:val="20"/>
                <w:szCs w:val="20"/>
              </w:rPr>
            </w:pPr>
            <w:r w:rsidRPr="00F52CAE">
              <w:rPr>
                <w:sz w:val="20"/>
                <w:szCs w:val="20"/>
              </w:rPr>
              <w:t>≥</w:t>
            </w:r>
            <w:r w:rsidR="002E5CFA" w:rsidRPr="00F52CAE">
              <w:rPr>
                <w:sz w:val="20"/>
                <w:szCs w:val="20"/>
              </w:rPr>
              <w:t>72</w:t>
            </w:r>
          </w:p>
        </w:tc>
        <w:tc>
          <w:tcPr>
            <w:tcW w:w="992" w:type="dxa"/>
            <w:tcBorders>
              <w:top w:val="nil"/>
              <w:left w:val="nil"/>
              <w:bottom w:val="single" w:sz="4" w:space="0" w:color="auto"/>
              <w:right w:val="single" w:sz="4" w:space="0" w:color="auto"/>
            </w:tcBorders>
            <w:shd w:val="clear" w:color="auto" w:fill="auto"/>
            <w:vAlign w:val="center"/>
          </w:tcPr>
          <w:p w14:paraId="5297C212" w14:textId="49326AE9" w:rsidR="001A3952" w:rsidRPr="00F52CAE" w:rsidRDefault="001A3952" w:rsidP="00F52CAE">
            <w:pPr>
              <w:jc w:val="center"/>
              <w:rPr>
                <w:sz w:val="20"/>
                <w:szCs w:val="20"/>
              </w:rPr>
            </w:pPr>
            <w:r w:rsidRPr="00F52CAE">
              <w:rPr>
                <w:sz w:val="20"/>
                <w:szCs w:val="20"/>
              </w:rPr>
              <w:t>≥</w:t>
            </w:r>
            <w:r w:rsidR="002E5CFA" w:rsidRPr="00F52CAE">
              <w:rPr>
                <w:sz w:val="20"/>
                <w:szCs w:val="20"/>
              </w:rPr>
              <w:t>75</w:t>
            </w:r>
          </w:p>
        </w:tc>
        <w:tc>
          <w:tcPr>
            <w:tcW w:w="980" w:type="dxa"/>
            <w:tcBorders>
              <w:top w:val="nil"/>
              <w:left w:val="nil"/>
              <w:bottom w:val="single" w:sz="4" w:space="0" w:color="auto"/>
              <w:right w:val="single" w:sz="4" w:space="0" w:color="auto"/>
            </w:tcBorders>
            <w:vAlign w:val="center"/>
          </w:tcPr>
          <w:p w14:paraId="745839C3" w14:textId="51C8908E" w:rsidR="001A3952" w:rsidRPr="00F52CAE" w:rsidRDefault="002E5CFA" w:rsidP="00F52CAE">
            <w:pPr>
              <w:jc w:val="center"/>
              <w:rPr>
                <w:sz w:val="20"/>
                <w:szCs w:val="20"/>
              </w:rPr>
            </w:pPr>
            <w:r w:rsidRPr="00F52CAE">
              <w:rPr>
                <w:sz w:val="20"/>
                <w:szCs w:val="20"/>
              </w:rPr>
              <w:t>≥80</w:t>
            </w:r>
          </w:p>
        </w:tc>
        <w:tc>
          <w:tcPr>
            <w:tcW w:w="929" w:type="dxa"/>
            <w:tcBorders>
              <w:top w:val="nil"/>
              <w:left w:val="nil"/>
              <w:bottom w:val="single" w:sz="4" w:space="0" w:color="auto"/>
              <w:right w:val="single" w:sz="4" w:space="0" w:color="auto"/>
            </w:tcBorders>
            <w:vAlign w:val="center"/>
          </w:tcPr>
          <w:p w14:paraId="4640C710" w14:textId="6CA19FC8" w:rsidR="001A3952" w:rsidRPr="00F52CAE" w:rsidRDefault="002E5CFA" w:rsidP="00F52CAE">
            <w:pPr>
              <w:jc w:val="center"/>
              <w:rPr>
                <w:sz w:val="20"/>
                <w:szCs w:val="20"/>
              </w:rPr>
            </w:pPr>
            <w:r w:rsidRPr="00F52CAE">
              <w:rPr>
                <w:sz w:val="20"/>
                <w:szCs w:val="20"/>
              </w:rPr>
              <w:t>≥85</w:t>
            </w:r>
          </w:p>
        </w:tc>
      </w:tr>
      <w:tr w:rsidR="00867418" w:rsidRPr="00F52CAE" w14:paraId="0A05D8DA" w14:textId="3E2183AF" w:rsidTr="00F52CAE">
        <w:trPr>
          <w:trHeight w:val="772"/>
          <w:jc w:val="center"/>
        </w:trPr>
        <w:tc>
          <w:tcPr>
            <w:tcW w:w="622" w:type="dxa"/>
            <w:tcBorders>
              <w:top w:val="nil"/>
              <w:left w:val="single" w:sz="4" w:space="0" w:color="auto"/>
              <w:bottom w:val="single" w:sz="4" w:space="0" w:color="auto"/>
              <w:right w:val="single" w:sz="4" w:space="0" w:color="auto"/>
            </w:tcBorders>
            <w:shd w:val="clear" w:color="auto" w:fill="auto"/>
            <w:noWrap/>
            <w:vAlign w:val="center"/>
          </w:tcPr>
          <w:p w14:paraId="42EC1A37" w14:textId="5EC2A016" w:rsidR="001A3952" w:rsidRPr="00F52CAE" w:rsidRDefault="001A3952" w:rsidP="002756AF">
            <w:pPr>
              <w:jc w:val="center"/>
              <w:rPr>
                <w:color w:val="000000"/>
                <w:sz w:val="20"/>
                <w:szCs w:val="20"/>
              </w:rPr>
            </w:pPr>
            <w:r w:rsidRPr="00F52CAE">
              <w:rPr>
                <w:color w:val="000000"/>
                <w:sz w:val="20"/>
                <w:szCs w:val="20"/>
              </w:rPr>
              <w:t>2.</w:t>
            </w:r>
          </w:p>
        </w:tc>
        <w:tc>
          <w:tcPr>
            <w:tcW w:w="3060" w:type="dxa"/>
            <w:tcBorders>
              <w:top w:val="nil"/>
              <w:left w:val="nil"/>
              <w:bottom w:val="single" w:sz="4" w:space="0" w:color="auto"/>
              <w:right w:val="single" w:sz="4" w:space="0" w:color="auto"/>
            </w:tcBorders>
            <w:shd w:val="clear" w:color="auto" w:fill="auto"/>
            <w:noWrap/>
            <w:vAlign w:val="center"/>
          </w:tcPr>
          <w:p w14:paraId="76B69368" w14:textId="6B844634" w:rsidR="001A3952" w:rsidRPr="00F52CAE" w:rsidRDefault="001A3952" w:rsidP="002756AF">
            <w:pPr>
              <w:jc w:val="center"/>
              <w:rPr>
                <w:sz w:val="20"/>
                <w:szCs w:val="20"/>
              </w:rPr>
            </w:pPr>
            <w:r w:rsidRPr="00F52CAE">
              <w:rPr>
                <w:sz w:val="20"/>
                <w:szCs w:val="20"/>
              </w:rPr>
              <w:t>Miesto maršrutams aptarnauti naudojama autobusų su 0 teršalų emisija skaičius</w:t>
            </w:r>
          </w:p>
        </w:tc>
        <w:tc>
          <w:tcPr>
            <w:tcW w:w="1094" w:type="dxa"/>
            <w:tcBorders>
              <w:top w:val="nil"/>
              <w:left w:val="nil"/>
              <w:bottom w:val="single" w:sz="4" w:space="0" w:color="auto"/>
              <w:right w:val="single" w:sz="4" w:space="0" w:color="auto"/>
            </w:tcBorders>
            <w:shd w:val="clear" w:color="auto" w:fill="auto"/>
            <w:noWrap/>
            <w:vAlign w:val="center"/>
          </w:tcPr>
          <w:p w14:paraId="5541FE68" w14:textId="4C862D67" w:rsidR="001A3952" w:rsidRPr="00F52CAE" w:rsidRDefault="001A3952" w:rsidP="002756AF">
            <w:pPr>
              <w:jc w:val="center"/>
              <w:rPr>
                <w:sz w:val="20"/>
                <w:szCs w:val="20"/>
              </w:rPr>
            </w:pPr>
            <w:r w:rsidRPr="00F52CAE">
              <w:rPr>
                <w:sz w:val="20"/>
                <w:szCs w:val="20"/>
              </w:rPr>
              <w:t>Vnt.</w:t>
            </w:r>
          </w:p>
        </w:tc>
        <w:tc>
          <w:tcPr>
            <w:tcW w:w="958" w:type="dxa"/>
            <w:tcBorders>
              <w:top w:val="nil"/>
              <w:left w:val="nil"/>
              <w:bottom w:val="single" w:sz="4" w:space="0" w:color="auto"/>
              <w:right w:val="single" w:sz="4" w:space="0" w:color="auto"/>
            </w:tcBorders>
            <w:shd w:val="clear" w:color="auto" w:fill="auto"/>
            <w:vAlign w:val="center"/>
          </w:tcPr>
          <w:p w14:paraId="5FC9BEE9" w14:textId="6B0E5CF8" w:rsidR="001A3952" w:rsidRPr="00F52CAE" w:rsidRDefault="001A3952" w:rsidP="00F52CAE">
            <w:pPr>
              <w:jc w:val="center"/>
              <w:rPr>
                <w:sz w:val="20"/>
                <w:szCs w:val="20"/>
              </w:rPr>
            </w:pPr>
            <w:r w:rsidRPr="00F52CAE">
              <w:rPr>
                <w:sz w:val="20"/>
                <w:szCs w:val="20"/>
              </w:rPr>
              <w:t>≥22</w:t>
            </w:r>
          </w:p>
        </w:tc>
        <w:tc>
          <w:tcPr>
            <w:tcW w:w="993" w:type="dxa"/>
            <w:tcBorders>
              <w:top w:val="nil"/>
              <w:left w:val="nil"/>
              <w:bottom w:val="single" w:sz="4" w:space="0" w:color="auto"/>
              <w:right w:val="single" w:sz="4" w:space="0" w:color="auto"/>
            </w:tcBorders>
            <w:shd w:val="clear" w:color="auto" w:fill="auto"/>
            <w:vAlign w:val="center"/>
          </w:tcPr>
          <w:p w14:paraId="59ADD665" w14:textId="16C5BDD3" w:rsidR="001A3952" w:rsidRPr="00F52CAE" w:rsidRDefault="001A3952" w:rsidP="00F52CAE">
            <w:pPr>
              <w:jc w:val="center"/>
              <w:rPr>
                <w:sz w:val="20"/>
                <w:szCs w:val="20"/>
              </w:rPr>
            </w:pPr>
            <w:r w:rsidRPr="00F52CAE">
              <w:rPr>
                <w:sz w:val="20"/>
                <w:szCs w:val="20"/>
              </w:rPr>
              <w:t>≥30</w:t>
            </w:r>
          </w:p>
        </w:tc>
        <w:tc>
          <w:tcPr>
            <w:tcW w:w="992" w:type="dxa"/>
            <w:tcBorders>
              <w:top w:val="nil"/>
              <w:left w:val="nil"/>
              <w:bottom w:val="single" w:sz="4" w:space="0" w:color="auto"/>
              <w:right w:val="single" w:sz="4" w:space="0" w:color="auto"/>
            </w:tcBorders>
            <w:shd w:val="clear" w:color="auto" w:fill="auto"/>
            <w:vAlign w:val="center"/>
          </w:tcPr>
          <w:p w14:paraId="7D06D427" w14:textId="50DE9760" w:rsidR="001A3952" w:rsidRPr="00F52CAE" w:rsidRDefault="001A3952" w:rsidP="00F52CAE">
            <w:pPr>
              <w:jc w:val="center"/>
              <w:rPr>
                <w:sz w:val="20"/>
                <w:szCs w:val="20"/>
              </w:rPr>
            </w:pPr>
            <w:r w:rsidRPr="00F52CAE">
              <w:rPr>
                <w:sz w:val="20"/>
                <w:szCs w:val="20"/>
              </w:rPr>
              <w:t>≥3</w:t>
            </w:r>
            <w:r w:rsidR="002E5CFA" w:rsidRPr="00F52CAE">
              <w:rPr>
                <w:sz w:val="20"/>
                <w:szCs w:val="20"/>
              </w:rPr>
              <w:t>5</w:t>
            </w:r>
          </w:p>
        </w:tc>
        <w:tc>
          <w:tcPr>
            <w:tcW w:w="980" w:type="dxa"/>
            <w:tcBorders>
              <w:top w:val="nil"/>
              <w:left w:val="nil"/>
              <w:bottom w:val="single" w:sz="4" w:space="0" w:color="auto"/>
              <w:right w:val="single" w:sz="4" w:space="0" w:color="auto"/>
            </w:tcBorders>
            <w:vAlign w:val="center"/>
          </w:tcPr>
          <w:p w14:paraId="3FA53436" w14:textId="65FFD51A" w:rsidR="001A3952" w:rsidRPr="00F52CAE" w:rsidRDefault="002E5CFA" w:rsidP="00F52CAE">
            <w:pPr>
              <w:jc w:val="center"/>
              <w:rPr>
                <w:sz w:val="20"/>
                <w:szCs w:val="20"/>
              </w:rPr>
            </w:pPr>
            <w:r w:rsidRPr="00F52CAE">
              <w:rPr>
                <w:sz w:val="20"/>
                <w:szCs w:val="20"/>
              </w:rPr>
              <w:t>≥37</w:t>
            </w:r>
          </w:p>
        </w:tc>
        <w:tc>
          <w:tcPr>
            <w:tcW w:w="929" w:type="dxa"/>
            <w:tcBorders>
              <w:top w:val="nil"/>
              <w:left w:val="nil"/>
              <w:bottom w:val="single" w:sz="4" w:space="0" w:color="auto"/>
              <w:right w:val="single" w:sz="4" w:space="0" w:color="auto"/>
            </w:tcBorders>
            <w:vAlign w:val="center"/>
          </w:tcPr>
          <w:p w14:paraId="26C5A65E" w14:textId="7B45B556" w:rsidR="001A3952" w:rsidRPr="00F52CAE" w:rsidRDefault="002E5CFA" w:rsidP="00F52CAE">
            <w:pPr>
              <w:jc w:val="center"/>
              <w:rPr>
                <w:sz w:val="20"/>
                <w:szCs w:val="20"/>
              </w:rPr>
            </w:pPr>
            <w:r w:rsidRPr="00F52CAE">
              <w:rPr>
                <w:sz w:val="20"/>
                <w:szCs w:val="20"/>
              </w:rPr>
              <w:t>≥40</w:t>
            </w:r>
          </w:p>
        </w:tc>
      </w:tr>
      <w:tr w:rsidR="00F52CAE" w:rsidRPr="00F52CAE" w14:paraId="2BF9C9A7" w14:textId="77777777" w:rsidTr="00F52CAE">
        <w:trPr>
          <w:trHeight w:val="772"/>
          <w:jc w:val="center"/>
        </w:trPr>
        <w:tc>
          <w:tcPr>
            <w:tcW w:w="622" w:type="dxa"/>
            <w:tcBorders>
              <w:top w:val="nil"/>
              <w:left w:val="single" w:sz="4" w:space="0" w:color="auto"/>
              <w:bottom w:val="single" w:sz="4" w:space="0" w:color="auto"/>
              <w:right w:val="single" w:sz="4" w:space="0" w:color="auto"/>
            </w:tcBorders>
            <w:shd w:val="clear" w:color="auto" w:fill="auto"/>
            <w:noWrap/>
            <w:vAlign w:val="center"/>
          </w:tcPr>
          <w:p w14:paraId="71D06F20" w14:textId="36D8B330" w:rsidR="002D19C4" w:rsidRPr="00F52CAE" w:rsidRDefault="002D19C4" w:rsidP="002D19C4">
            <w:pPr>
              <w:jc w:val="center"/>
              <w:rPr>
                <w:color w:val="000000"/>
                <w:sz w:val="20"/>
                <w:szCs w:val="20"/>
              </w:rPr>
            </w:pPr>
            <w:r w:rsidRPr="00F52CAE">
              <w:rPr>
                <w:color w:val="000000"/>
                <w:sz w:val="20"/>
                <w:szCs w:val="20"/>
              </w:rPr>
              <w:t>3.</w:t>
            </w:r>
          </w:p>
        </w:tc>
        <w:tc>
          <w:tcPr>
            <w:tcW w:w="3060" w:type="dxa"/>
            <w:tcBorders>
              <w:top w:val="nil"/>
              <w:left w:val="nil"/>
              <w:bottom w:val="single" w:sz="4" w:space="0" w:color="auto"/>
              <w:right w:val="single" w:sz="4" w:space="0" w:color="auto"/>
            </w:tcBorders>
            <w:shd w:val="clear" w:color="auto" w:fill="auto"/>
            <w:noWrap/>
            <w:vAlign w:val="center"/>
          </w:tcPr>
          <w:p w14:paraId="64441430" w14:textId="7483CC53" w:rsidR="002D19C4" w:rsidRPr="00F52CAE" w:rsidRDefault="002D19C4" w:rsidP="002D19C4">
            <w:pPr>
              <w:jc w:val="center"/>
              <w:rPr>
                <w:sz w:val="20"/>
                <w:szCs w:val="20"/>
              </w:rPr>
            </w:pPr>
            <w:r w:rsidRPr="00F52CAE">
              <w:rPr>
                <w:sz w:val="20"/>
                <w:szCs w:val="20"/>
              </w:rPr>
              <w:t>Maršrutų, aptarnaujamų savaeigiu transportu, skaičius</w:t>
            </w:r>
          </w:p>
        </w:tc>
        <w:tc>
          <w:tcPr>
            <w:tcW w:w="1094" w:type="dxa"/>
            <w:tcBorders>
              <w:top w:val="nil"/>
              <w:left w:val="nil"/>
              <w:bottom w:val="single" w:sz="4" w:space="0" w:color="auto"/>
              <w:right w:val="single" w:sz="4" w:space="0" w:color="auto"/>
            </w:tcBorders>
            <w:shd w:val="clear" w:color="auto" w:fill="auto"/>
            <w:noWrap/>
            <w:vAlign w:val="center"/>
          </w:tcPr>
          <w:p w14:paraId="22C74F21" w14:textId="319A123B" w:rsidR="002D19C4" w:rsidRPr="00F52CAE" w:rsidRDefault="002D19C4" w:rsidP="002D19C4">
            <w:pPr>
              <w:jc w:val="center"/>
              <w:rPr>
                <w:sz w:val="20"/>
                <w:szCs w:val="20"/>
              </w:rPr>
            </w:pPr>
            <w:r w:rsidRPr="00F52CAE">
              <w:rPr>
                <w:sz w:val="20"/>
                <w:szCs w:val="20"/>
              </w:rPr>
              <w:t>Vnt.</w:t>
            </w:r>
          </w:p>
        </w:tc>
        <w:tc>
          <w:tcPr>
            <w:tcW w:w="958" w:type="dxa"/>
            <w:tcBorders>
              <w:top w:val="nil"/>
              <w:left w:val="nil"/>
              <w:bottom w:val="single" w:sz="4" w:space="0" w:color="auto"/>
              <w:right w:val="single" w:sz="4" w:space="0" w:color="auto"/>
            </w:tcBorders>
            <w:shd w:val="clear" w:color="auto" w:fill="auto"/>
            <w:vAlign w:val="center"/>
          </w:tcPr>
          <w:p w14:paraId="533368B9" w14:textId="3FFB150C" w:rsidR="002D19C4" w:rsidRPr="00F52CAE" w:rsidRDefault="002D19C4" w:rsidP="00F52CAE">
            <w:pPr>
              <w:jc w:val="center"/>
              <w:rPr>
                <w:sz w:val="20"/>
                <w:szCs w:val="20"/>
              </w:rPr>
            </w:pPr>
            <w:r w:rsidRPr="00F52CAE">
              <w:rPr>
                <w:sz w:val="20"/>
                <w:szCs w:val="20"/>
              </w:rPr>
              <w:t>0</w:t>
            </w:r>
          </w:p>
        </w:tc>
        <w:tc>
          <w:tcPr>
            <w:tcW w:w="993" w:type="dxa"/>
            <w:tcBorders>
              <w:top w:val="nil"/>
              <w:left w:val="nil"/>
              <w:bottom w:val="single" w:sz="4" w:space="0" w:color="auto"/>
              <w:right w:val="single" w:sz="4" w:space="0" w:color="auto"/>
            </w:tcBorders>
            <w:shd w:val="clear" w:color="auto" w:fill="auto"/>
            <w:vAlign w:val="center"/>
          </w:tcPr>
          <w:p w14:paraId="764562D6" w14:textId="1E634208" w:rsidR="002D19C4" w:rsidRPr="00F52CAE" w:rsidRDefault="002D19C4" w:rsidP="00F52CAE">
            <w:pPr>
              <w:jc w:val="center"/>
              <w:rPr>
                <w:sz w:val="20"/>
                <w:szCs w:val="20"/>
              </w:rPr>
            </w:pPr>
            <w:r w:rsidRPr="00F52CAE">
              <w:rPr>
                <w:sz w:val="20"/>
                <w:szCs w:val="20"/>
              </w:rPr>
              <w:t>0</w:t>
            </w:r>
          </w:p>
        </w:tc>
        <w:tc>
          <w:tcPr>
            <w:tcW w:w="992" w:type="dxa"/>
            <w:tcBorders>
              <w:top w:val="nil"/>
              <w:left w:val="nil"/>
              <w:bottom w:val="single" w:sz="4" w:space="0" w:color="auto"/>
              <w:right w:val="single" w:sz="4" w:space="0" w:color="auto"/>
            </w:tcBorders>
            <w:shd w:val="clear" w:color="auto" w:fill="auto"/>
            <w:vAlign w:val="center"/>
          </w:tcPr>
          <w:p w14:paraId="5EED9F94" w14:textId="60E8EA1F" w:rsidR="002D19C4" w:rsidRPr="00F52CAE" w:rsidRDefault="002D19C4" w:rsidP="00F52CAE">
            <w:pPr>
              <w:jc w:val="center"/>
              <w:rPr>
                <w:sz w:val="20"/>
                <w:szCs w:val="20"/>
              </w:rPr>
            </w:pPr>
            <w:r w:rsidRPr="00F52CAE">
              <w:rPr>
                <w:sz w:val="20"/>
                <w:szCs w:val="20"/>
              </w:rPr>
              <w:t>0</w:t>
            </w:r>
          </w:p>
        </w:tc>
        <w:tc>
          <w:tcPr>
            <w:tcW w:w="980" w:type="dxa"/>
            <w:tcBorders>
              <w:top w:val="nil"/>
              <w:left w:val="nil"/>
              <w:bottom w:val="single" w:sz="4" w:space="0" w:color="auto"/>
              <w:right w:val="single" w:sz="4" w:space="0" w:color="auto"/>
            </w:tcBorders>
            <w:vAlign w:val="center"/>
          </w:tcPr>
          <w:p w14:paraId="5D0FEA13" w14:textId="626A9076" w:rsidR="002D19C4" w:rsidRPr="00F52CAE" w:rsidRDefault="002D19C4" w:rsidP="00F52CAE">
            <w:pPr>
              <w:jc w:val="center"/>
              <w:rPr>
                <w:sz w:val="20"/>
                <w:szCs w:val="20"/>
              </w:rPr>
            </w:pPr>
            <w:r w:rsidRPr="00F52CAE">
              <w:rPr>
                <w:sz w:val="20"/>
                <w:szCs w:val="20"/>
              </w:rPr>
              <w:t>0</w:t>
            </w:r>
          </w:p>
        </w:tc>
        <w:tc>
          <w:tcPr>
            <w:tcW w:w="929" w:type="dxa"/>
            <w:tcBorders>
              <w:top w:val="nil"/>
              <w:left w:val="nil"/>
              <w:bottom w:val="single" w:sz="4" w:space="0" w:color="auto"/>
              <w:right w:val="single" w:sz="4" w:space="0" w:color="auto"/>
            </w:tcBorders>
            <w:vAlign w:val="center"/>
          </w:tcPr>
          <w:p w14:paraId="4693B7AA" w14:textId="5F8CE7DF" w:rsidR="002D19C4" w:rsidRPr="00F52CAE" w:rsidRDefault="002D19C4" w:rsidP="00F52CAE">
            <w:pPr>
              <w:jc w:val="center"/>
              <w:rPr>
                <w:sz w:val="20"/>
                <w:szCs w:val="20"/>
              </w:rPr>
            </w:pPr>
            <w:r w:rsidRPr="00F52CAE">
              <w:rPr>
                <w:sz w:val="20"/>
                <w:szCs w:val="20"/>
              </w:rPr>
              <w:t>≥1</w:t>
            </w:r>
          </w:p>
        </w:tc>
      </w:tr>
      <w:tr w:rsidR="00867418" w:rsidRPr="00F52CAE" w14:paraId="5DC44C98" w14:textId="77777777" w:rsidTr="00F52CAE">
        <w:trPr>
          <w:trHeight w:val="772"/>
          <w:jc w:val="center"/>
        </w:trPr>
        <w:tc>
          <w:tcPr>
            <w:tcW w:w="622" w:type="dxa"/>
            <w:tcBorders>
              <w:top w:val="nil"/>
              <w:left w:val="single" w:sz="4" w:space="0" w:color="auto"/>
              <w:bottom w:val="single" w:sz="4" w:space="0" w:color="auto"/>
              <w:right w:val="single" w:sz="4" w:space="0" w:color="auto"/>
            </w:tcBorders>
            <w:shd w:val="clear" w:color="auto" w:fill="auto"/>
            <w:noWrap/>
            <w:vAlign w:val="center"/>
          </w:tcPr>
          <w:p w14:paraId="766814C4" w14:textId="0ECD94F2" w:rsidR="002D19C4" w:rsidRPr="00F52CAE" w:rsidRDefault="002D19C4" w:rsidP="002D19C4">
            <w:pPr>
              <w:jc w:val="center"/>
              <w:rPr>
                <w:color w:val="000000"/>
                <w:sz w:val="20"/>
                <w:szCs w:val="20"/>
              </w:rPr>
            </w:pPr>
            <w:r w:rsidRPr="00F52CAE">
              <w:rPr>
                <w:color w:val="000000"/>
                <w:sz w:val="20"/>
                <w:szCs w:val="20"/>
              </w:rPr>
              <w:t>4.</w:t>
            </w:r>
          </w:p>
        </w:tc>
        <w:tc>
          <w:tcPr>
            <w:tcW w:w="3060" w:type="dxa"/>
            <w:tcBorders>
              <w:top w:val="nil"/>
              <w:left w:val="nil"/>
              <w:bottom w:val="single" w:sz="4" w:space="0" w:color="auto"/>
              <w:right w:val="single" w:sz="4" w:space="0" w:color="auto"/>
            </w:tcBorders>
            <w:shd w:val="clear" w:color="auto" w:fill="auto"/>
            <w:noWrap/>
            <w:vAlign w:val="center"/>
          </w:tcPr>
          <w:p w14:paraId="11F19625" w14:textId="5B967198" w:rsidR="002D19C4" w:rsidRPr="00F52CAE" w:rsidRDefault="002D19C4" w:rsidP="002D19C4">
            <w:pPr>
              <w:jc w:val="center"/>
              <w:rPr>
                <w:sz w:val="20"/>
                <w:szCs w:val="20"/>
              </w:rPr>
            </w:pPr>
            <w:r w:rsidRPr="00F52CAE">
              <w:rPr>
                <w:sz w:val="20"/>
                <w:szCs w:val="20"/>
              </w:rPr>
              <w:t>Bendrovės įrengtų, prižiūrimų ir atvirus duomenis teikiančių oro taršos matavimo stotelių skaičius</w:t>
            </w:r>
          </w:p>
        </w:tc>
        <w:tc>
          <w:tcPr>
            <w:tcW w:w="1094" w:type="dxa"/>
            <w:tcBorders>
              <w:top w:val="nil"/>
              <w:left w:val="nil"/>
              <w:bottom w:val="single" w:sz="4" w:space="0" w:color="auto"/>
              <w:right w:val="single" w:sz="4" w:space="0" w:color="auto"/>
            </w:tcBorders>
            <w:shd w:val="clear" w:color="auto" w:fill="auto"/>
            <w:noWrap/>
            <w:vAlign w:val="center"/>
          </w:tcPr>
          <w:p w14:paraId="7C19D57E" w14:textId="0C4F8498" w:rsidR="002D19C4" w:rsidRPr="00F52CAE" w:rsidRDefault="002D19C4" w:rsidP="002D19C4">
            <w:pPr>
              <w:jc w:val="center"/>
              <w:rPr>
                <w:sz w:val="20"/>
                <w:szCs w:val="20"/>
              </w:rPr>
            </w:pPr>
            <w:r w:rsidRPr="00F52CAE">
              <w:rPr>
                <w:sz w:val="20"/>
                <w:szCs w:val="20"/>
              </w:rPr>
              <w:t>Vnt.</w:t>
            </w:r>
          </w:p>
        </w:tc>
        <w:tc>
          <w:tcPr>
            <w:tcW w:w="958" w:type="dxa"/>
            <w:tcBorders>
              <w:top w:val="nil"/>
              <w:left w:val="nil"/>
              <w:bottom w:val="single" w:sz="4" w:space="0" w:color="auto"/>
              <w:right w:val="single" w:sz="4" w:space="0" w:color="auto"/>
            </w:tcBorders>
            <w:shd w:val="clear" w:color="auto" w:fill="auto"/>
            <w:vAlign w:val="center"/>
          </w:tcPr>
          <w:p w14:paraId="06202AA1" w14:textId="083D2BBB" w:rsidR="002D19C4" w:rsidRPr="00F52CAE" w:rsidRDefault="002D19C4" w:rsidP="00F52CAE">
            <w:pPr>
              <w:jc w:val="center"/>
              <w:rPr>
                <w:sz w:val="20"/>
                <w:szCs w:val="20"/>
              </w:rPr>
            </w:pPr>
            <w:r w:rsidRPr="00F52CAE">
              <w:rPr>
                <w:sz w:val="20"/>
                <w:szCs w:val="20"/>
              </w:rPr>
              <w:t>0</w:t>
            </w:r>
          </w:p>
        </w:tc>
        <w:tc>
          <w:tcPr>
            <w:tcW w:w="993" w:type="dxa"/>
            <w:tcBorders>
              <w:top w:val="nil"/>
              <w:left w:val="nil"/>
              <w:bottom w:val="single" w:sz="4" w:space="0" w:color="auto"/>
              <w:right w:val="single" w:sz="4" w:space="0" w:color="auto"/>
            </w:tcBorders>
            <w:shd w:val="clear" w:color="auto" w:fill="auto"/>
            <w:vAlign w:val="center"/>
          </w:tcPr>
          <w:p w14:paraId="1B100CAD" w14:textId="4255AFDD" w:rsidR="002D19C4" w:rsidRPr="00F52CAE" w:rsidRDefault="002D19C4" w:rsidP="00F52CAE">
            <w:pPr>
              <w:jc w:val="center"/>
              <w:rPr>
                <w:sz w:val="20"/>
                <w:szCs w:val="20"/>
              </w:rPr>
            </w:pPr>
            <w:r w:rsidRPr="00F52CAE">
              <w:rPr>
                <w:sz w:val="20"/>
                <w:szCs w:val="20"/>
              </w:rPr>
              <w:t>≥1</w:t>
            </w:r>
          </w:p>
        </w:tc>
        <w:tc>
          <w:tcPr>
            <w:tcW w:w="992" w:type="dxa"/>
            <w:tcBorders>
              <w:top w:val="nil"/>
              <w:left w:val="nil"/>
              <w:bottom w:val="single" w:sz="4" w:space="0" w:color="auto"/>
              <w:right w:val="single" w:sz="4" w:space="0" w:color="auto"/>
            </w:tcBorders>
            <w:shd w:val="clear" w:color="auto" w:fill="auto"/>
            <w:vAlign w:val="center"/>
          </w:tcPr>
          <w:p w14:paraId="51C30670" w14:textId="3BA84AAD" w:rsidR="002D19C4" w:rsidRPr="00F52CAE" w:rsidRDefault="002D19C4" w:rsidP="00F52CAE">
            <w:pPr>
              <w:jc w:val="center"/>
              <w:rPr>
                <w:sz w:val="20"/>
                <w:szCs w:val="20"/>
              </w:rPr>
            </w:pPr>
            <w:r w:rsidRPr="00F52CAE">
              <w:rPr>
                <w:sz w:val="20"/>
                <w:szCs w:val="20"/>
              </w:rPr>
              <w:t>≥2</w:t>
            </w:r>
          </w:p>
        </w:tc>
        <w:tc>
          <w:tcPr>
            <w:tcW w:w="980" w:type="dxa"/>
            <w:tcBorders>
              <w:top w:val="nil"/>
              <w:left w:val="nil"/>
              <w:bottom w:val="single" w:sz="4" w:space="0" w:color="auto"/>
              <w:right w:val="single" w:sz="4" w:space="0" w:color="auto"/>
            </w:tcBorders>
            <w:vAlign w:val="center"/>
          </w:tcPr>
          <w:p w14:paraId="41DADC5E" w14:textId="7F782818" w:rsidR="002D19C4" w:rsidRPr="00F52CAE" w:rsidRDefault="002D19C4" w:rsidP="00F52CAE">
            <w:pPr>
              <w:jc w:val="center"/>
              <w:rPr>
                <w:sz w:val="20"/>
                <w:szCs w:val="20"/>
              </w:rPr>
            </w:pPr>
            <w:r w:rsidRPr="00F52CAE">
              <w:rPr>
                <w:sz w:val="20"/>
                <w:szCs w:val="20"/>
              </w:rPr>
              <w:t>≥3</w:t>
            </w:r>
          </w:p>
        </w:tc>
        <w:tc>
          <w:tcPr>
            <w:tcW w:w="929" w:type="dxa"/>
            <w:tcBorders>
              <w:top w:val="nil"/>
              <w:left w:val="nil"/>
              <w:bottom w:val="single" w:sz="4" w:space="0" w:color="auto"/>
              <w:right w:val="single" w:sz="4" w:space="0" w:color="auto"/>
            </w:tcBorders>
            <w:vAlign w:val="center"/>
          </w:tcPr>
          <w:p w14:paraId="0444C849" w14:textId="66C966E6" w:rsidR="002D19C4" w:rsidRPr="00F52CAE" w:rsidRDefault="002D19C4" w:rsidP="00F52CAE">
            <w:pPr>
              <w:jc w:val="center"/>
              <w:rPr>
                <w:sz w:val="20"/>
                <w:szCs w:val="20"/>
              </w:rPr>
            </w:pPr>
            <w:r w:rsidRPr="00F52CAE">
              <w:rPr>
                <w:sz w:val="20"/>
                <w:szCs w:val="20"/>
              </w:rPr>
              <w:t>≥5</w:t>
            </w:r>
          </w:p>
        </w:tc>
      </w:tr>
      <w:tr w:rsidR="00867418" w:rsidRPr="00F52CAE" w14:paraId="20584398" w14:textId="77777777" w:rsidTr="00F52CAE">
        <w:trPr>
          <w:trHeight w:val="772"/>
          <w:jc w:val="center"/>
        </w:trPr>
        <w:tc>
          <w:tcPr>
            <w:tcW w:w="622" w:type="dxa"/>
            <w:tcBorders>
              <w:top w:val="nil"/>
              <w:left w:val="single" w:sz="4" w:space="0" w:color="auto"/>
              <w:bottom w:val="single" w:sz="4" w:space="0" w:color="auto"/>
              <w:right w:val="single" w:sz="4" w:space="0" w:color="auto"/>
            </w:tcBorders>
            <w:shd w:val="clear" w:color="auto" w:fill="auto"/>
            <w:noWrap/>
            <w:vAlign w:val="center"/>
          </w:tcPr>
          <w:p w14:paraId="425512E2" w14:textId="03A12FB7" w:rsidR="002D19C4" w:rsidRPr="00F52CAE" w:rsidRDefault="00F52CAE" w:rsidP="002D19C4">
            <w:pPr>
              <w:jc w:val="center"/>
              <w:rPr>
                <w:color w:val="000000"/>
                <w:sz w:val="20"/>
                <w:szCs w:val="20"/>
              </w:rPr>
            </w:pPr>
            <w:r w:rsidRPr="00F52CAE">
              <w:rPr>
                <w:color w:val="000000"/>
                <w:sz w:val="20"/>
                <w:szCs w:val="20"/>
              </w:rPr>
              <w:t>5.</w:t>
            </w:r>
          </w:p>
        </w:tc>
        <w:tc>
          <w:tcPr>
            <w:tcW w:w="3060" w:type="dxa"/>
            <w:tcBorders>
              <w:top w:val="nil"/>
              <w:left w:val="nil"/>
              <w:bottom w:val="single" w:sz="4" w:space="0" w:color="auto"/>
              <w:right w:val="single" w:sz="4" w:space="0" w:color="auto"/>
            </w:tcBorders>
            <w:shd w:val="clear" w:color="auto" w:fill="auto"/>
            <w:noWrap/>
            <w:vAlign w:val="center"/>
          </w:tcPr>
          <w:p w14:paraId="54C24576" w14:textId="107811BB" w:rsidR="002D19C4" w:rsidRPr="00F52CAE" w:rsidRDefault="002D19C4" w:rsidP="002D19C4">
            <w:pPr>
              <w:jc w:val="center"/>
              <w:rPr>
                <w:sz w:val="20"/>
                <w:szCs w:val="20"/>
              </w:rPr>
            </w:pPr>
            <w:r w:rsidRPr="00F52CAE">
              <w:rPr>
                <w:sz w:val="20"/>
                <w:szCs w:val="20"/>
              </w:rPr>
              <w:t>Nuotoliniu būdu valdomų LED šviestuvų skaičius</w:t>
            </w:r>
          </w:p>
        </w:tc>
        <w:tc>
          <w:tcPr>
            <w:tcW w:w="1094" w:type="dxa"/>
            <w:tcBorders>
              <w:top w:val="nil"/>
              <w:left w:val="nil"/>
              <w:bottom w:val="single" w:sz="4" w:space="0" w:color="auto"/>
              <w:right w:val="single" w:sz="4" w:space="0" w:color="auto"/>
            </w:tcBorders>
            <w:shd w:val="clear" w:color="auto" w:fill="auto"/>
            <w:noWrap/>
            <w:vAlign w:val="center"/>
          </w:tcPr>
          <w:p w14:paraId="3BEFA625" w14:textId="01FFC6E6" w:rsidR="002D19C4" w:rsidRPr="00F52CAE" w:rsidRDefault="002D19C4" w:rsidP="002D19C4">
            <w:pPr>
              <w:jc w:val="center"/>
              <w:rPr>
                <w:sz w:val="20"/>
                <w:szCs w:val="20"/>
              </w:rPr>
            </w:pPr>
            <w:r w:rsidRPr="00F52CAE">
              <w:rPr>
                <w:sz w:val="20"/>
                <w:szCs w:val="20"/>
              </w:rPr>
              <w:t>Vnt.</w:t>
            </w:r>
          </w:p>
        </w:tc>
        <w:tc>
          <w:tcPr>
            <w:tcW w:w="958" w:type="dxa"/>
            <w:tcBorders>
              <w:top w:val="nil"/>
              <w:left w:val="nil"/>
              <w:bottom w:val="single" w:sz="4" w:space="0" w:color="auto"/>
              <w:right w:val="single" w:sz="4" w:space="0" w:color="auto"/>
            </w:tcBorders>
            <w:shd w:val="clear" w:color="auto" w:fill="auto"/>
            <w:vAlign w:val="center"/>
          </w:tcPr>
          <w:p w14:paraId="73C5B0F4" w14:textId="4245A192" w:rsidR="002D19C4" w:rsidRPr="00F52CAE" w:rsidRDefault="002D19C4" w:rsidP="00F52CAE">
            <w:pPr>
              <w:jc w:val="center"/>
              <w:rPr>
                <w:sz w:val="20"/>
                <w:szCs w:val="20"/>
              </w:rPr>
            </w:pPr>
            <w:r w:rsidRPr="00F52CAE">
              <w:rPr>
                <w:sz w:val="20"/>
                <w:szCs w:val="20"/>
              </w:rPr>
              <w:t>≥500</w:t>
            </w:r>
          </w:p>
        </w:tc>
        <w:tc>
          <w:tcPr>
            <w:tcW w:w="993" w:type="dxa"/>
            <w:tcBorders>
              <w:top w:val="nil"/>
              <w:left w:val="nil"/>
              <w:bottom w:val="single" w:sz="4" w:space="0" w:color="auto"/>
              <w:right w:val="single" w:sz="4" w:space="0" w:color="auto"/>
            </w:tcBorders>
            <w:shd w:val="clear" w:color="auto" w:fill="auto"/>
            <w:vAlign w:val="center"/>
          </w:tcPr>
          <w:p w14:paraId="022286D7" w14:textId="045425E6" w:rsidR="002D19C4" w:rsidRPr="00F52CAE" w:rsidRDefault="002D19C4" w:rsidP="00F52CAE">
            <w:pPr>
              <w:jc w:val="center"/>
              <w:rPr>
                <w:sz w:val="20"/>
                <w:szCs w:val="20"/>
              </w:rPr>
            </w:pPr>
            <w:r w:rsidRPr="00F52CAE">
              <w:rPr>
                <w:sz w:val="20"/>
                <w:szCs w:val="20"/>
              </w:rPr>
              <w:t>≥1000</w:t>
            </w:r>
          </w:p>
        </w:tc>
        <w:tc>
          <w:tcPr>
            <w:tcW w:w="992" w:type="dxa"/>
            <w:tcBorders>
              <w:top w:val="nil"/>
              <w:left w:val="nil"/>
              <w:bottom w:val="single" w:sz="4" w:space="0" w:color="auto"/>
              <w:right w:val="single" w:sz="4" w:space="0" w:color="auto"/>
            </w:tcBorders>
            <w:shd w:val="clear" w:color="auto" w:fill="auto"/>
            <w:vAlign w:val="center"/>
          </w:tcPr>
          <w:p w14:paraId="019BA5E0" w14:textId="2B3EA373" w:rsidR="002D19C4" w:rsidRPr="00F52CAE" w:rsidRDefault="002D19C4" w:rsidP="00F52CAE">
            <w:pPr>
              <w:jc w:val="center"/>
              <w:rPr>
                <w:sz w:val="20"/>
                <w:szCs w:val="20"/>
              </w:rPr>
            </w:pPr>
            <w:r w:rsidRPr="00F52CAE">
              <w:rPr>
                <w:sz w:val="20"/>
                <w:szCs w:val="20"/>
              </w:rPr>
              <w:t>≥1500</w:t>
            </w:r>
          </w:p>
        </w:tc>
        <w:tc>
          <w:tcPr>
            <w:tcW w:w="980" w:type="dxa"/>
            <w:tcBorders>
              <w:top w:val="nil"/>
              <w:left w:val="nil"/>
              <w:bottom w:val="single" w:sz="4" w:space="0" w:color="auto"/>
              <w:right w:val="single" w:sz="4" w:space="0" w:color="auto"/>
            </w:tcBorders>
            <w:vAlign w:val="center"/>
          </w:tcPr>
          <w:p w14:paraId="4B372598" w14:textId="1D1143C7" w:rsidR="002D19C4" w:rsidRPr="00F52CAE" w:rsidRDefault="002D19C4" w:rsidP="00F52CAE">
            <w:pPr>
              <w:jc w:val="center"/>
              <w:rPr>
                <w:sz w:val="20"/>
                <w:szCs w:val="20"/>
              </w:rPr>
            </w:pPr>
            <w:r w:rsidRPr="00F52CAE">
              <w:rPr>
                <w:sz w:val="20"/>
                <w:szCs w:val="20"/>
              </w:rPr>
              <w:t>≥2000</w:t>
            </w:r>
          </w:p>
        </w:tc>
        <w:tc>
          <w:tcPr>
            <w:tcW w:w="929" w:type="dxa"/>
            <w:tcBorders>
              <w:top w:val="nil"/>
              <w:left w:val="nil"/>
              <w:bottom w:val="single" w:sz="4" w:space="0" w:color="auto"/>
              <w:right w:val="single" w:sz="4" w:space="0" w:color="auto"/>
            </w:tcBorders>
            <w:vAlign w:val="center"/>
          </w:tcPr>
          <w:p w14:paraId="1DAA10EE" w14:textId="0849DCC8" w:rsidR="002D19C4" w:rsidRPr="00F52CAE" w:rsidRDefault="002D19C4" w:rsidP="00F52CAE">
            <w:pPr>
              <w:jc w:val="center"/>
              <w:rPr>
                <w:sz w:val="20"/>
                <w:szCs w:val="20"/>
              </w:rPr>
            </w:pPr>
            <w:r w:rsidRPr="00F52CAE">
              <w:rPr>
                <w:sz w:val="20"/>
                <w:szCs w:val="20"/>
              </w:rPr>
              <w:t>≥2500</w:t>
            </w:r>
          </w:p>
        </w:tc>
      </w:tr>
      <w:tr w:rsidR="00867418" w:rsidRPr="00F52CAE" w14:paraId="7D85474E" w14:textId="078C3D2B" w:rsidTr="00F52CAE">
        <w:trPr>
          <w:trHeight w:val="772"/>
          <w:jc w:val="center"/>
        </w:trPr>
        <w:tc>
          <w:tcPr>
            <w:tcW w:w="622" w:type="dxa"/>
            <w:tcBorders>
              <w:top w:val="nil"/>
              <w:left w:val="single" w:sz="4" w:space="0" w:color="auto"/>
              <w:bottom w:val="single" w:sz="4" w:space="0" w:color="auto"/>
              <w:right w:val="single" w:sz="4" w:space="0" w:color="auto"/>
            </w:tcBorders>
            <w:shd w:val="clear" w:color="auto" w:fill="auto"/>
            <w:noWrap/>
            <w:vAlign w:val="center"/>
          </w:tcPr>
          <w:p w14:paraId="1A0BD2D1" w14:textId="5920E158" w:rsidR="001A3952" w:rsidRPr="00F52CAE" w:rsidRDefault="00F52CAE" w:rsidP="009E5BB8">
            <w:pPr>
              <w:jc w:val="center"/>
              <w:rPr>
                <w:color w:val="000000"/>
                <w:sz w:val="20"/>
                <w:szCs w:val="20"/>
              </w:rPr>
            </w:pPr>
            <w:bookmarkStart w:id="3" w:name="_Hlk142660629"/>
            <w:r w:rsidRPr="00F52CAE">
              <w:rPr>
                <w:color w:val="000000"/>
                <w:sz w:val="20"/>
                <w:szCs w:val="20"/>
              </w:rPr>
              <w:t>6</w:t>
            </w:r>
            <w:r w:rsidR="001A3952" w:rsidRPr="00F52CAE">
              <w:rPr>
                <w:color w:val="000000"/>
                <w:sz w:val="20"/>
                <w:szCs w:val="20"/>
              </w:rPr>
              <w:t>.</w:t>
            </w:r>
          </w:p>
        </w:tc>
        <w:tc>
          <w:tcPr>
            <w:tcW w:w="3060" w:type="dxa"/>
            <w:tcBorders>
              <w:top w:val="nil"/>
              <w:left w:val="nil"/>
              <w:bottom w:val="single" w:sz="4" w:space="0" w:color="auto"/>
              <w:right w:val="single" w:sz="4" w:space="0" w:color="auto"/>
            </w:tcBorders>
            <w:shd w:val="clear" w:color="auto" w:fill="auto"/>
            <w:noWrap/>
            <w:vAlign w:val="center"/>
          </w:tcPr>
          <w:p w14:paraId="52A353AD" w14:textId="5C39E1DF" w:rsidR="001A3952" w:rsidRPr="00F52CAE" w:rsidRDefault="00137DD8" w:rsidP="009E5BB8">
            <w:pPr>
              <w:jc w:val="center"/>
              <w:rPr>
                <w:sz w:val="20"/>
                <w:szCs w:val="20"/>
              </w:rPr>
            </w:pPr>
            <w:r w:rsidRPr="00F52CAE">
              <w:rPr>
                <w:sz w:val="20"/>
                <w:szCs w:val="20"/>
              </w:rPr>
              <w:t>*</w:t>
            </w:r>
            <w:r w:rsidR="001A3952" w:rsidRPr="00F52CAE">
              <w:rPr>
                <w:sz w:val="20"/>
                <w:szCs w:val="20"/>
              </w:rPr>
              <w:t>Neefektyvių seno tipo šviestuvų pakeistų į modernius LED šviestuvus Klaipėdos mieste, dalis</w:t>
            </w:r>
          </w:p>
        </w:tc>
        <w:tc>
          <w:tcPr>
            <w:tcW w:w="1094" w:type="dxa"/>
            <w:tcBorders>
              <w:top w:val="nil"/>
              <w:left w:val="nil"/>
              <w:bottom w:val="single" w:sz="4" w:space="0" w:color="auto"/>
              <w:right w:val="single" w:sz="4" w:space="0" w:color="auto"/>
            </w:tcBorders>
            <w:shd w:val="clear" w:color="auto" w:fill="auto"/>
            <w:noWrap/>
            <w:vAlign w:val="center"/>
          </w:tcPr>
          <w:p w14:paraId="5ECDE3B8" w14:textId="3456CF04" w:rsidR="001A3952" w:rsidRPr="00F52CAE" w:rsidRDefault="0012054E" w:rsidP="009E5BB8">
            <w:pPr>
              <w:jc w:val="center"/>
              <w:rPr>
                <w:sz w:val="20"/>
                <w:szCs w:val="20"/>
              </w:rPr>
            </w:pPr>
            <w:r w:rsidRPr="00F52CAE">
              <w:rPr>
                <w:sz w:val="20"/>
                <w:szCs w:val="20"/>
              </w:rPr>
              <w:t>Proc.</w:t>
            </w:r>
          </w:p>
        </w:tc>
        <w:tc>
          <w:tcPr>
            <w:tcW w:w="958" w:type="dxa"/>
            <w:tcBorders>
              <w:top w:val="nil"/>
              <w:left w:val="nil"/>
              <w:bottom w:val="single" w:sz="4" w:space="0" w:color="auto"/>
              <w:right w:val="single" w:sz="4" w:space="0" w:color="auto"/>
            </w:tcBorders>
            <w:shd w:val="clear" w:color="auto" w:fill="auto"/>
            <w:vAlign w:val="center"/>
          </w:tcPr>
          <w:p w14:paraId="1BA5FBD0" w14:textId="2EBDBBBA" w:rsidR="001A3952" w:rsidRPr="00F52CAE" w:rsidRDefault="001A3952" w:rsidP="00F52CAE">
            <w:pPr>
              <w:jc w:val="center"/>
              <w:rPr>
                <w:sz w:val="20"/>
                <w:szCs w:val="20"/>
              </w:rPr>
            </w:pPr>
            <w:r w:rsidRPr="00F52CAE">
              <w:rPr>
                <w:sz w:val="20"/>
                <w:szCs w:val="20"/>
              </w:rPr>
              <w:t>≥3</w:t>
            </w:r>
            <w:r w:rsidR="00867418" w:rsidRPr="00F52CAE">
              <w:rPr>
                <w:sz w:val="20"/>
                <w:szCs w:val="20"/>
              </w:rPr>
              <w:t>3</w:t>
            </w:r>
          </w:p>
        </w:tc>
        <w:tc>
          <w:tcPr>
            <w:tcW w:w="993" w:type="dxa"/>
            <w:tcBorders>
              <w:top w:val="nil"/>
              <w:left w:val="nil"/>
              <w:bottom w:val="single" w:sz="4" w:space="0" w:color="auto"/>
              <w:right w:val="single" w:sz="4" w:space="0" w:color="auto"/>
            </w:tcBorders>
            <w:shd w:val="clear" w:color="auto" w:fill="auto"/>
            <w:vAlign w:val="center"/>
          </w:tcPr>
          <w:p w14:paraId="49BA189A" w14:textId="1FC1BD2E" w:rsidR="001A3952" w:rsidRPr="00F52CAE" w:rsidRDefault="001A3952" w:rsidP="00F52CAE">
            <w:pPr>
              <w:jc w:val="center"/>
              <w:rPr>
                <w:sz w:val="20"/>
                <w:szCs w:val="20"/>
              </w:rPr>
            </w:pPr>
            <w:r w:rsidRPr="00F52CAE">
              <w:rPr>
                <w:sz w:val="20"/>
                <w:szCs w:val="20"/>
              </w:rPr>
              <w:t>≥</w:t>
            </w:r>
            <w:r w:rsidR="00867418" w:rsidRPr="00F52CAE">
              <w:rPr>
                <w:sz w:val="20"/>
                <w:szCs w:val="20"/>
              </w:rPr>
              <w:t>50</w:t>
            </w:r>
          </w:p>
        </w:tc>
        <w:tc>
          <w:tcPr>
            <w:tcW w:w="992" w:type="dxa"/>
            <w:tcBorders>
              <w:top w:val="nil"/>
              <w:left w:val="nil"/>
              <w:bottom w:val="single" w:sz="4" w:space="0" w:color="auto"/>
              <w:right w:val="single" w:sz="4" w:space="0" w:color="auto"/>
            </w:tcBorders>
            <w:shd w:val="clear" w:color="auto" w:fill="auto"/>
            <w:vAlign w:val="center"/>
          </w:tcPr>
          <w:p w14:paraId="034EB513" w14:textId="42D442D1" w:rsidR="001A3952" w:rsidRPr="00F52CAE" w:rsidRDefault="001A3952" w:rsidP="00F52CAE">
            <w:pPr>
              <w:jc w:val="center"/>
              <w:rPr>
                <w:sz w:val="20"/>
                <w:szCs w:val="20"/>
              </w:rPr>
            </w:pPr>
            <w:r w:rsidRPr="00F52CAE">
              <w:rPr>
                <w:sz w:val="20"/>
                <w:szCs w:val="20"/>
              </w:rPr>
              <w:t>≥</w:t>
            </w:r>
            <w:r w:rsidR="00867418" w:rsidRPr="00F52CAE">
              <w:rPr>
                <w:sz w:val="20"/>
                <w:szCs w:val="20"/>
              </w:rPr>
              <w:t>60</w:t>
            </w:r>
          </w:p>
        </w:tc>
        <w:tc>
          <w:tcPr>
            <w:tcW w:w="980" w:type="dxa"/>
            <w:tcBorders>
              <w:top w:val="nil"/>
              <w:left w:val="nil"/>
              <w:bottom w:val="single" w:sz="4" w:space="0" w:color="auto"/>
              <w:right w:val="single" w:sz="4" w:space="0" w:color="auto"/>
            </w:tcBorders>
            <w:vAlign w:val="center"/>
          </w:tcPr>
          <w:p w14:paraId="46F91970" w14:textId="68077270" w:rsidR="001A3952" w:rsidRPr="00F52CAE" w:rsidRDefault="00867418" w:rsidP="00F52CAE">
            <w:pPr>
              <w:jc w:val="center"/>
              <w:rPr>
                <w:sz w:val="20"/>
                <w:szCs w:val="20"/>
              </w:rPr>
            </w:pPr>
            <w:r w:rsidRPr="00F52CAE">
              <w:rPr>
                <w:sz w:val="20"/>
                <w:szCs w:val="20"/>
              </w:rPr>
              <w:t>≥70</w:t>
            </w:r>
          </w:p>
        </w:tc>
        <w:tc>
          <w:tcPr>
            <w:tcW w:w="929" w:type="dxa"/>
            <w:tcBorders>
              <w:top w:val="nil"/>
              <w:left w:val="nil"/>
              <w:bottom w:val="single" w:sz="4" w:space="0" w:color="auto"/>
              <w:right w:val="single" w:sz="4" w:space="0" w:color="auto"/>
            </w:tcBorders>
            <w:vAlign w:val="center"/>
          </w:tcPr>
          <w:p w14:paraId="2A134602" w14:textId="47422F8D" w:rsidR="001A3952" w:rsidRPr="00F52CAE" w:rsidRDefault="00867418" w:rsidP="00F52CAE">
            <w:pPr>
              <w:jc w:val="center"/>
              <w:rPr>
                <w:sz w:val="20"/>
                <w:szCs w:val="20"/>
              </w:rPr>
            </w:pPr>
            <w:r w:rsidRPr="00F52CAE">
              <w:rPr>
                <w:sz w:val="20"/>
                <w:szCs w:val="20"/>
              </w:rPr>
              <w:t>≥80</w:t>
            </w:r>
          </w:p>
        </w:tc>
      </w:tr>
      <w:bookmarkEnd w:id="3"/>
      <w:tr w:rsidR="00867418" w:rsidRPr="00F52CAE" w14:paraId="03ED41BE" w14:textId="407174B9" w:rsidTr="00F52CAE">
        <w:trPr>
          <w:trHeight w:val="772"/>
          <w:jc w:val="center"/>
        </w:trPr>
        <w:tc>
          <w:tcPr>
            <w:tcW w:w="622" w:type="dxa"/>
            <w:tcBorders>
              <w:top w:val="nil"/>
              <w:left w:val="single" w:sz="4" w:space="0" w:color="auto"/>
              <w:bottom w:val="single" w:sz="4" w:space="0" w:color="auto"/>
              <w:right w:val="single" w:sz="4" w:space="0" w:color="auto"/>
            </w:tcBorders>
            <w:shd w:val="clear" w:color="auto" w:fill="auto"/>
            <w:noWrap/>
            <w:vAlign w:val="center"/>
          </w:tcPr>
          <w:p w14:paraId="47D5B232" w14:textId="744E9D8E" w:rsidR="001A3952" w:rsidRPr="00F52CAE" w:rsidRDefault="00F52CAE" w:rsidP="009E5BB8">
            <w:pPr>
              <w:jc w:val="center"/>
              <w:rPr>
                <w:color w:val="000000"/>
                <w:sz w:val="20"/>
                <w:szCs w:val="20"/>
              </w:rPr>
            </w:pPr>
            <w:r w:rsidRPr="00F52CAE">
              <w:rPr>
                <w:color w:val="000000"/>
                <w:sz w:val="20"/>
                <w:szCs w:val="20"/>
              </w:rPr>
              <w:t>7</w:t>
            </w:r>
            <w:r w:rsidR="001A3952" w:rsidRPr="00F52CAE">
              <w:rPr>
                <w:color w:val="000000"/>
                <w:sz w:val="20"/>
                <w:szCs w:val="20"/>
              </w:rPr>
              <w:t>.</w:t>
            </w:r>
          </w:p>
        </w:tc>
        <w:tc>
          <w:tcPr>
            <w:tcW w:w="3060" w:type="dxa"/>
            <w:tcBorders>
              <w:top w:val="nil"/>
              <w:left w:val="nil"/>
              <w:bottom w:val="single" w:sz="4" w:space="0" w:color="auto"/>
              <w:right w:val="single" w:sz="4" w:space="0" w:color="auto"/>
            </w:tcBorders>
            <w:shd w:val="clear" w:color="auto" w:fill="auto"/>
            <w:noWrap/>
            <w:vAlign w:val="center"/>
          </w:tcPr>
          <w:p w14:paraId="6C21FA0F" w14:textId="5C6F1C32" w:rsidR="001A3952" w:rsidRPr="00F52CAE" w:rsidRDefault="006C66F7" w:rsidP="009E5BB8">
            <w:pPr>
              <w:jc w:val="center"/>
              <w:rPr>
                <w:sz w:val="20"/>
                <w:szCs w:val="20"/>
              </w:rPr>
            </w:pPr>
            <w:r w:rsidRPr="00F52CAE">
              <w:rPr>
                <w:sz w:val="20"/>
                <w:szCs w:val="20"/>
              </w:rPr>
              <w:t>*</w:t>
            </w:r>
            <w:r w:rsidR="001A3952" w:rsidRPr="00F52CAE">
              <w:rPr>
                <w:bCs/>
                <w:sz w:val="20"/>
                <w:szCs w:val="20"/>
                <w:lang w:eastAsia="lt-LT"/>
              </w:rPr>
              <w:t>Elektros energijos Klaipėdos miesto gatvių apšvietimui suvartojimo efektyvinimas</w:t>
            </w:r>
          </w:p>
        </w:tc>
        <w:tc>
          <w:tcPr>
            <w:tcW w:w="1094" w:type="dxa"/>
            <w:tcBorders>
              <w:top w:val="nil"/>
              <w:left w:val="nil"/>
              <w:bottom w:val="single" w:sz="4" w:space="0" w:color="auto"/>
              <w:right w:val="single" w:sz="4" w:space="0" w:color="auto"/>
            </w:tcBorders>
            <w:shd w:val="clear" w:color="auto" w:fill="auto"/>
            <w:noWrap/>
            <w:vAlign w:val="center"/>
          </w:tcPr>
          <w:p w14:paraId="6E82FFBE" w14:textId="5CF4AC31" w:rsidR="001A3952" w:rsidRPr="00F52CAE" w:rsidRDefault="001A3952" w:rsidP="009E5BB8">
            <w:pPr>
              <w:jc w:val="center"/>
              <w:rPr>
                <w:sz w:val="20"/>
                <w:szCs w:val="20"/>
              </w:rPr>
            </w:pPr>
            <w:r w:rsidRPr="00F52CAE">
              <w:rPr>
                <w:sz w:val="20"/>
                <w:szCs w:val="20"/>
              </w:rPr>
              <w:t xml:space="preserve">kWh vienam šviestuvui </w:t>
            </w:r>
          </w:p>
        </w:tc>
        <w:tc>
          <w:tcPr>
            <w:tcW w:w="958" w:type="dxa"/>
            <w:tcBorders>
              <w:top w:val="nil"/>
              <w:left w:val="nil"/>
              <w:bottom w:val="single" w:sz="4" w:space="0" w:color="auto"/>
              <w:right w:val="single" w:sz="4" w:space="0" w:color="auto"/>
            </w:tcBorders>
            <w:shd w:val="clear" w:color="auto" w:fill="auto"/>
            <w:vAlign w:val="center"/>
          </w:tcPr>
          <w:p w14:paraId="329A0440" w14:textId="64CCFD5A" w:rsidR="001A3952" w:rsidRPr="00F52CAE" w:rsidRDefault="001A3952" w:rsidP="00F52CAE">
            <w:pPr>
              <w:jc w:val="center"/>
              <w:rPr>
                <w:sz w:val="20"/>
                <w:szCs w:val="20"/>
              </w:rPr>
            </w:pPr>
            <w:r w:rsidRPr="00F52CAE">
              <w:rPr>
                <w:sz w:val="20"/>
                <w:szCs w:val="20"/>
              </w:rPr>
              <w:t>≤</w:t>
            </w:r>
            <w:r w:rsidR="00613471" w:rsidRPr="00F52CAE">
              <w:rPr>
                <w:sz w:val="20"/>
                <w:szCs w:val="20"/>
              </w:rPr>
              <w:t>480</w:t>
            </w:r>
          </w:p>
        </w:tc>
        <w:tc>
          <w:tcPr>
            <w:tcW w:w="993" w:type="dxa"/>
            <w:tcBorders>
              <w:top w:val="nil"/>
              <w:left w:val="nil"/>
              <w:bottom w:val="single" w:sz="4" w:space="0" w:color="auto"/>
              <w:right w:val="single" w:sz="4" w:space="0" w:color="auto"/>
            </w:tcBorders>
            <w:shd w:val="clear" w:color="auto" w:fill="auto"/>
            <w:vAlign w:val="center"/>
          </w:tcPr>
          <w:p w14:paraId="59A1D833" w14:textId="24433126" w:rsidR="001A3952" w:rsidRPr="00F52CAE" w:rsidRDefault="001A3952" w:rsidP="00F52CAE">
            <w:pPr>
              <w:jc w:val="center"/>
              <w:rPr>
                <w:sz w:val="20"/>
                <w:szCs w:val="20"/>
              </w:rPr>
            </w:pPr>
            <w:r w:rsidRPr="00F52CAE">
              <w:rPr>
                <w:sz w:val="20"/>
                <w:szCs w:val="20"/>
              </w:rPr>
              <w:t>≤</w:t>
            </w:r>
            <w:r w:rsidR="00613471" w:rsidRPr="00F52CAE">
              <w:rPr>
                <w:sz w:val="20"/>
                <w:szCs w:val="20"/>
              </w:rPr>
              <w:t>420</w:t>
            </w:r>
          </w:p>
        </w:tc>
        <w:tc>
          <w:tcPr>
            <w:tcW w:w="992" w:type="dxa"/>
            <w:tcBorders>
              <w:top w:val="nil"/>
              <w:left w:val="nil"/>
              <w:bottom w:val="single" w:sz="4" w:space="0" w:color="auto"/>
              <w:right w:val="single" w:sz="4" w:space="0" w:color="auto"/>
            </w:tcBorders>
            <w:shd w:val="clear" w:color="auto" w:fill="auto"/>
            <w:vAlign w:val="center"/>
          </w:tcPr>
          <w:p w14:paraId="30F00B46" w14:textId="14FA716D" w:rsidR="001A3952" w:rsidRPr="00F52CAE" w:rsidRDefault="001A3952" w:rsidP="00F52CAE">
            <w:pPr>
              <w:jc w:val="center"/>
              <w:rPr>
                <w:sz w:val="20"/>
                <w:szCs w:val="20"/>
              </w:rPr>
            </w:pPr>
            <w:r w:rsidRPr="00F52CAE">
              <w:rPr>
                <w:sz w:val="20"/>
                <w:szCs w:val="20"/>
              </w:rPr>
              <w:t>≤</w:t>
            </w:r>
            <w:r w:rsidR="00613471" w:rsidRPr="00F52CAE">
              <w:rPr>
                <w:sz w:val="20"/>
                <w:szCs w:val="20"/>
              </w:rPr>
              <w:t>370</w:t>
            </w:r>
          </w:p>
        </w:tc>
        <w:tc>
          <w:tcPr>
            <w:tcW w:w="980" w:type="dxa"/>
            <w:tcBorders>
              <w:top w:val="nil"/>
              <w:left w:val="nil"/>
              <w:bottom w:val="single" w:sz="4" w:space="0" w:color="auto"/>
              <w:right w:val="single" w:sz="4" w:space="0" w:color="auto"/>
            </w:tcBorders>
            <w:vAlign w:val="center"/>
          </w:tcPr>
          <w:p w14:paraId="23B27F71" w14:textId="5180C44F" w:rsidR="001A3952" w:rsidRPr="00F52CAE" w:rsidRDefault="00613471" w:rsidP="00F52CAE">
            <w:pPr>
              <w:jc w:val="center"/>
              <w:rPr>
                <w:sz w:val="20"/>
                <w:szCs w:val="20"/>
              </w:rPr>
            </w:pPr>
            <w:r w:rsidRPr="00F52CAE">
              <w:rPr>
                <w:sz w:val="20"/>
                <w:szCs w:val="20"/>
              </w:rPr>
              <w:t>≤340</w:t>
            </w:r>
          </w:p>
        </w:tc>
        <w:tc>
          <w:tcPr>
            <w:tcW w:w="929" w:type="dxa"/>
            <w:tcBorders>
              <w:top w:val="nil"/>
              <w:left w:val="nil"/>
              <w:bottom w:val="single" w:sz="4" w:space="0" w:color="auto"/>
              <w:right w:val="single" w:sz="4" w:space="0" w:color="auto"/>
            </w:tcBorders>
            <w:vAlign w:val="center"/>
          </w:tcPr>
          <w:p w14:paraId="5B97A74F" w14:textId="66B14331" w:rsidR="001A3952" w:rsidRPr="00F52CAE" w:rsidRDefault="00613471" w:rsidP="00F52CAE">
            <w:pPr>
              <w:jc w:val="center"/>
              <w:rPr>
                <w:sz w:val="20"/>
                <w:szCs w:val="20"/>
              </w:rPr>
            </w:pPr>
            <w:r w:rsidRPr="00F52CAE">
              <w:rPr>
                <w:sz w:val="20"/>
                <w:szCs w:val="20"/>
              </w:rPr>
              <w:t>≤300</w:t>
            </w:r>
          </w:p>
        </w:tc>
      </w:tr>
      <w:tr w:rsidR="00F52CAE" w:rsidRPr="00F52CAE" w14:paraId="3F97A73D" w14:textId="77777777" w:rsidTr="00F52CAE">
        <w:trPr>
          <w:trHeight w:val="772"/>
          <w:jc w:val="center"/>
        </w:trPr>
        <w:tc>
          <w:tcPr>
            <w:tcW w:w="622" w:type="dxa"/>
            <w:tcBorders>
              <w:top w:val="nil"/>
              <w:left w:val="single" w:sz="4" w:space="0" w:color="auto"/>
              <w:bottom w:val="single" w:sz="4" w:space="0" w:color="auto"/>
              <w:right w:val="single" w:sz="4" w:space="0" w:color="auto"/>
            </w:tcBorders>
            <w:shd w:val="clear" w:color="auto" w:fill="auto"/>
            <w:noWrap/>
            <w:vAlign w:val="center"/>
          </w:tcPr>
          <w:p w14:paraId="610D7317" w14:textId="07F4135D" w:rsidR="00F52CAE" w:rsidRPr="00F52CAE" w:rsidRDefault="00F52CAE" w:rsidP="00F52CAE">
            <w:pPr>
              <w:jc w:val="center"/>
              <w:rPr>
                <w:color w:val="000000"/>
                <w:sz w:val="20"/>
                <w:szCs w:val="20"/>
              </w:rPr>
            </w:pPr>
            <w:r w:rsidRPr="00F52CAE">
              <w:rPr>
                <w:color w:val="000000"/>
                <w:sz w:val="20"/>
                <w:szCs w:val="20"/>
              </w:rPr>
              <w:t>8.</w:t>
            </w:r>
          </w:p>
        </w:tc>
        <w:tc>
          <w:tcPr>
            <w:tcW w:w="3060" w:type="dxa"/>
            <w:tcBorders>
              <w:top w:val="nil"/>
              <w:left w:val="nil"/>
              <w:bottom w:val="single" w:sz="4" w:space="0" w:color="auto"/>
              <w:right w:val="single" w:sz="4" w:space="0" w:color="auto"/>
            </w:tcBorders>
            <w:shd w:val="clear" w:color="auto" w:fill="auto"/>
            <w:noWrap/>
            <w:vAlign w:val="center"/>
          </w:tcPr>
          <w:p w14:paraId="5C052EEB" w14:textId="4825433F" w:rsidR="00F52CAE" w:rsidRPr="00F52CAE" w:rsidRDefault="00F52CAE" w:rsidP="00F52CAE">
            <w:pPr>
              <w:jc w:val="center"/>
              <w:rPr>
                <w:bCs/>
                <w:sz w:val="20"/>
                <w:szCs w:val="20"/>
                <w:lang w:eastAsia="lt-LT"/>
              </w:rPr>
            </w:pPr>
            <w:r w:rsidRPr="00F52CAE">
              <w:rPr>
                <w:sz w:val="20"/>
                <w:szCs w:val="20"/>
              </w:rPr>
              <w:t>Eismo valdymo sistemoje „Omnia“ veikiančių Klaipėdos miesto šviesoforinių vienetų (postų) dalis</w:t>
            </w:r>
          </w:p>
        </w:tc>
        <w:tc>
          <w:tcPr>
            <w:tcW w:w="1094" w:type="dxa"/>
            <w:tcBorders>
              <w:top w:val="nil"/>
              <w:left w:val="nil"/>
              <w:bottom w:val="single" w:sz="4" w:space="0" w:color="auto"/>
              <w:right w:val="single" w:sz="4" w:space="0" w:color="auto"/>
            </w:tcBorders>
            <w:shd w:val="clear" w:color="auto" w:fill="auto"/>
            <w:noWrap/>
            <w:vAlign w:val="center"/>
          </w:tcPr>
          <w:p w14:paraId="4DE5C6FC" w14:textId="5891AFBC" w:rsidR="00F52CAE" w:rsidRPr="00F52CAE" w:rsidRDefault="00F52CAE" w:rsidP="00F52CAE">
            <w:pPr>
              <w:jc w:val="center"/>
              <w:rPr>
                <w:sz w:val="20"/>
                <w:szCs w:val="20"/>
              </w:rPr>
            </w:pPr>
            <w:r w:rsidRPr="00F52CAE">
              <w:rPr>
                <w:sz w:val="20"/>
                <w:szCs w:val="20"/>
              </w:rPr>
              <w:t>Proc.</w:t>
            </w:r>
          </w:p>
        </w:tc>
        <w:tc>
          <w:tcPr>
            <w:tcW w:w="958" w:type="dxa"/>
            <w:tcBorders>
              <w:top w:val="nil"/>
              <w:left w:val="nil"/>
              <w:bottom w:val="single" w:sz="4" w:space="0" w:color="auto"/>
              <w:right w:val="single" w:sz="4" w:space="0" w:color="auto"/>
            </w:tcBorders>
            <w:shd w:val="clear" w:color="auto" w:fill="auto"/>
            <w:vAlign w:val="center"/>
          </w:tcPr>
          <w:p w14:paraId="030F94AE" w14:textId="3DC83378" w:rsidR="00F52CAE" w:rsidRPr="00F52CAE" w:rsidRDefault="00F52CAE" w:rsidP="00F52CAE">
            <w:pPr>
              <w:jc w:val="center"/>
              <w:rPr>
                <w:sz w:val="20"/>
                <w:szCs w:val="20"/>
              </w:rPr>
            </w:pPr>
            <w:r w:rsidRPr="00F52CAE">
              <w:rPr>
                <w:sz w:val="20"/>
                <w:szCs w:val="20"/>
              </w:rPr>
              <w:t>≥75</w:t>
            </w:r>
          </w:p>
        </w:tc>
        <w:tc>
          <w:tcPr>
            <w:tcW w:w="993" w:type="dxa"/>
            <w:tcBorders>
              <w:top w:val="nil"/>
              <w:left w:val="nil"/>
              <w:bottom w:val="single" w:sz="4" w:space="0" w:color="auto"/>
              <w:right w:val="single" w:sz="4" w:space="0" w:color="auto"/>
            </w:tcBorders>
            <w:shd w:val="clear" w:color="auto" w:fill="auto"/>
            <w:vAlign w:val="center"/>
          </w:tcPr>
          <w:p w14:paraId="07C7969B" w14:textId="63087F8D" w:rsidR="00F52CAE" w:rsidRPr="00F52CAE" w:rsidRDefault="00F52CAE" w:rsidP="00F52CAE">
            <w:pPr>
              <w:jc w:val="center"/>
              <w:rPr>
                <w:sz w:val="20"/>
                <w:szCs w:val="20"/>
              </w:rPr>
            </w:pPr>
            <w:r w:rsidRPr="00F52CAE">
              <w:rPr>
                <w:sz w:val="20"/>
                <w:szCs w:val="20"/>
              </w:rPr>
              <w:t>≥80</w:t>
            </w:r>
          </w:p>
        </w:tc>
        <w:tc>
          <w:tcPr>
            <w:tcW w:w="992" w:type="dxa"/>
            <w:tcBorders>
              <w:top w:val="nil"/>
              <w:left w:val="nil"/>
              <w:bottom w:val="single" w:sz="4" w:space="0" w:color="auto"/>
              <w:right w:val="single" w:sz="4" w:space="0" w:color="auto"/>
            </w:tcBorders>
            <w:shd w:val="clear" w:color="auto" w:fill="auto"/>
            <w:vAlign w:val="center"/>
          </w:tcPr>
          <w:p w14:paraId="0EE95F0D" w14:textId="4B3D504B" w:rsidR="00F52CAE" w:rsidRPr="00F52CAE" w:rsidRDefault="00F52CAE" w:rsidP="00F52CAE">
            <w:pPr>
              <w:jc w:val="center"/>
              <w:rPr>
                <w:sz w:val="20"/>
                <w:szCs w:val="20"/>
              </w:rPr>
            </w:pPr>
            <w:r w:rsidRPr="00F52CAE">
              <w:rPr>
                <w:sz w:val="20"/>
                <w:szCs w:val="20"/>
              </w:rPr>
              <w:t>≥85</w:t>
            </w:r>
          </w:p>
        </w:tc>
        <w:tc>
          <w:tcPr>
            <w:tcW w:w="980" w:type="dxa"/>
            <w:tcBorders>
              <w:top w:val="nil"/>
              <w:left w:val="nil"/>
              <w:bottom w:val="single" w:sz="4" w:space="0" w:color="auto"/>
              <w:right w:val="single" w:sz="4" w:space="0" w:color="auto"/>
            </w:tcBorders>
            <w:vAlign w:val="center"/>
          </w:tcPr>
          <w:p w14:paraId="29F03CAC" w14:textId="0D9C4699" w:rsidR="00F52CAE" w:rsidRPr="00F52CAE" w:rsidRDefault="00F52CAE" w:rsidP="00F52CAE">
            <w:pPr>
              <w:jc w:val="center"/>
              <w:rPr>
                <w:sz w:val="20"/>
                <w:szCs w:val="20"/>
              </w:rPr>
            </w:pPr>
            <w:r w:rsidRPr="00F52CAE">
              <w:rPr>
                <w:sz w:val="20"/>
                <w:szCs w:val="20"/>
              </w:rPr>
              <w:t>≥88</w:t>
            </w:r>
          </w:p>
        </w:tc>
        <w:tc>
          <w:tcPr>
            <w:tcW w:w="929" w:type="dxa"/>
            <w:tcBorders>
              <w:top w:val="nil"/>
              <w:left w:val="nil"/>
              <w:bottom w:val="single" w:sz="4" w:space="0" w:color="auto"/>
              <w:right w:val="single" w:sz="4" w:space="0" w:color="auto"/>
            </w:tcBorders>
            <w:vAlign w:val="center"/>
          </w:tcPr>
          <w:p w14:paraId="00545D9B" w14:textId="0BD43247" w:rsidR="00F52CAE" w:rsidRPr="00F52CAE" w:rsidRDefault="00F52CAE" w:rsidP="00F52CAE">
            <w:pPr>
              <w:jc w:val="center"/>
              <w:rPr>
                <w:sz w:val="20"/>
                <w:szCs w:val="20"/>
              </w:rPr>
            </w:pPr>
            <w:r w:rsidRPr="00F52CAE">
              <w:rPr>
                <w:sz w:val="20"/>
                <w:szCs w:val="20"/>
              </w:rPr>
              <w:t>≥92</w:t>
            </w:r>
          </w:p>
        </w:tc>
      </w:tr>
      <w:tr w:rsidR="00137DD8" w:rsidRPr="00F52CAE" w14:paraId="5C5A3D2E" w14:textId="77777777" w:rsidTr="00F52CAE">
        <w:trPr>
          <w:trHeight w:val="772"/>
          <w:jc w:val="center"/>
        </w:trPr>
        <w:tc>
          <w:tcPr>
            <w:tcW w:w="622" w:type="dxa"/>
            <w:tcBorders>
              <w:top w:val="nil"/>
              <w:left w:val="single" w:sz="4" w:space="0" w:color="auto"/>
              <w:bottom w:val="single" w:sz="4" w:space="0" w:color="auto"/>
              <w:right w:val="single" w:sz="4" w:space="0" w:color="auto"/>
            </w:tcBorders>
            <w:shd w:val="clear" w:color="auto" w:fill="auto"/>
            <w:noWrap/>
            <w:vAlign w:val="center"/>
          </w:tcPr>
          <w:p w14:paraId="7BFC1AEB" w14:textId="1A868845" w:rsidR="00137DD8" w:rsidRPr="00F52CAE" w:rsidRDefault="00137DD8" w:rsidP="00137DD8">
            <w:pPr>
              <w:jc w:val="center"/>
              <w:rPr>
                <w:color w:val="000000"/>
                <w:sz w:val="20"/>
                <w:szCs w:val="20"/>
              </w:rPr>
            </w:pPr>
            <w:r w:rsidRPr="00F52CAE">
              <w:rPr>
                <w:color w:val="000000"/>
                <w:sz w:val="20"/>
                <w:szCs w:val="20"/>
              </w:rPr>
              <w:t>9.</w:t>
            </w:r>
          </w:p>
        </w:tc>
        <w:tc>
          <w:tcPr>
            <w:tcW w:w="3060" w:type="dxa"/>
            <w:tcBorders>
              <w:top w:val="nil"/>
              <w:left w:val="nil"/>
              <w:bottom w:val="single" w:sz="4" w:space="0" w:color="auto"/>
              <w:right w:val="single" w:sz="4" w:space="0" w:color="auto"/>
            </w:tcBorders>
            <w:shd w:val="clear" w:color="auto" w:fill="auto"/>
            <w:noWrap/>
            <w:vAlign w:val="center"/>
          </w:tcPr>
          <w:p w14:paraId="11A1A262" w14:textId="7F732804" w:rsidR="00137DD8" w:rsidRPr="00F52CAE" w:rsidRDefault="004857A3" w:rsidP="00137DD8">
            <w:pPr>
              <w:jc w:val="center"/>
              <w:rPr>
                <w:sz w:val="20"/>
                <w:szCs w:val="20"/>
              </w:rPr>
            </w:pPr>
            <w:r>
              <w:rPr>
                <w:sz w:val="20"/>
                <w:szCs w:val="20"/>
              </w:rPr>
              <w:t>**</w:t>
            </w:r>
            <w:r w:rsidR="00137DD8" w:rsidRPr="00F52CAE">
              <w:rPr>
                <w:sz w:val="20"/>
                <w:szCs w:val="20"/>
              </w:rPr>
              <w:t>Įgyvendintų gyvenamųjų kvartalų apšvietimo projektavimo ir rangos projektų skaičius</w:t>
            </w:r>
          </w:p>
        </w:tc>
        <w:tc>
          <w:tcPr>
            <w:tcW w:w="1094" w:type="dxa"/>
            <w:tcBorders>
              <w:top w:val="nil"/>
              <w:left w:val="nil"/>
              <w:bottom w:val="single" w:sz="4" w:space="0" w:color="auto"/>
              <w:right w:val="single" w:sz="4" w:space="0" w:color="auto"/>
            </w:tcBorders>
            <w:shd w:val="clear" w:color="auto" w:fill="auto"/>
            <w:noWrap/>
            <w:vAlign w:val="center"/>
          </w:tcPr>
          <w:p w14:paraId="00DF4A92" w14:textId="7E805395" w:rsidR="00137DD8" w:rsidRPr="00F52CAE" w:rsidRDefault="00137DD8" w:rsidP="00137DD8">
            <w:pPr>
              <w:jc w:val="center"/>
              <w:rPr>
                <w:sz w:val="20"/>
                <w:szCs w:val="20"/>
              </w:rPr>
            </w:pPr>
            <w:r w:rsidRPr="00F52CAE">
              <w:rPr>
                <w:sz w:val="20"/>
                <w:szCs w:val="20"/>
              </w:rPr>
              <w:t>Vnt.</w:t>
            </w:r>
          </w:p>
        </w:tc>
        <w:tc>
          <w:tcPr>
            <w:tcW w:w="958" w:type="dxa"/>
            <w:tcBorders>
              <w:top w:val="nil"/>
              <w:left w:val="nil"/>
              <w:bottom w:val="single" w:sz="4" w:space="0" w:color="auto"/>
              <w:right w:val="single" w:sz="4" w:space="0" w:color="auto"/>
            </w:tcBorders>
            <w:shd w:val="clear" w:color="auto" w:fill="auto"/>
            <w:vAlign w:val="center"/>
          </w:tcPr>
          <w:p w14:paraId="113C62A9" w14:textId="1C1384DA" w:rsidR="00137DD8" w:rsidRPr="00F52CAE" w:rsidRDefault="00137DD8" w:rsidP="00137DD8">
            <w:pPr>
              <w:jc w:val="center"/>
              <w:rPr>
                <w:sz w:val="20"/>
                <w:szCs w:val="20"/>
              </w:rPr>
            </w:pPr>
            <w:r w:rsidRPr="00F52CAE">
              <w:rPr>
                <w:sz w:val="20"/>
                <w:szCs w:val="20"/>
              </w:rPr>
              <w:t>≥1</w:t>
            </w:r>
          </w:p>
        </w:tc>
        <w:tc>
          <w:tcPr>
            <w:tcW w:w="993" w:type="dxa"/>
            <w:tcBorders>
              <w:top w:val="nil"/>
              <w:left w:val="nil"/>
              <w:bottom w:val="single" w:sz="4" w:space="0" w:color="auto"/>
              <w:right w:val="single" w:sz="4" w:space="0" w:color="auto"/>
            </w:tcBorders>
            <w:shd w:val="clear" w:color="auto" w:fill="auto"/>
            <w:vAlign w:val="center"/>
          </w:tcPr>
          <w:p w14:paraId="54A1B9E6" w14:textId="33DC4D47" w:rsidR="00137DD8" w:rsidRPr="00F52CAE" w:rsidRDefault="00137DD8" w:rsidP="00137DD8">
            <w:pPr>
              <w:jc w:val="center"/>
              <w:rPr>
                <w:sz w:val="20"/>
                <w:szCs w:val="20"/>
              </w:rPr>
            </w:pPr>
            <w:r w:rsidRPr="00F52CAE">
              <w:rPr>
                <w:sz w:val="20"/>
                <w:szCs w:val="20"/>
              </w:rPr>
              <w:t>≥3</w:t>
            </w:r>
          </w:p>
        </w:tc>
        <w:tc>
          <w:tcPr>
            <w:tcW w:w="992" w:type="dxa"/>
            <w:tcBorders>
              <w:top w:val="nil"/>
              <w:left w:val="nil"/>
              <w:bottom w:val="single" w:sz="4" w:space="0" w:color="auto"/>
              <w:right w:val="single" w:sz="4" w:space="0" w:color="auto"/>
            </w:tcBorders>
            <w:shd w:val="clear" w:color="auto" w:fill="auto"/>
            <w:vAlign w:val="center"/>
          </w:tcPr>
          <w:p w14:paraId="5B657CFD" w14:textId="258D6B78" w:rsidR="00137DD8" w:rsidRPr="00F52CAE" w:rsidRDefault="00137DD8" w:rsidP="00137DD8">
            <w:pPr>
              <w:jc w:val="center"/>
              <w:rPr>
                <w:sz w:val="20"/>
                <w:szCs w:val="20"/>
              </w:rPr>
            </w:pPr>
            <w:r w:rsidRPr="00F52CAE">
              <w:rPr>
                <w:sz w:val="20"/>
                <w:szCs w:val="20"/>
              </w:rPr>
              <w:t>≥6</w:t>
            </w:r>
          </w:p>
        </w:tc>
        <w:tc>
          <w:tcPr>
            <w:tcW w:w="980" w:type="dxa"/>
            <w:tcBorders>
              <w:top w:val="nil"/>
              <w:left w:val="nil"/>
              <w:bottom w:val="single" w:sz="4" w:space="0" w:color="auto"/>
              <w:right w:val="single" w:sz="4" w:space="0" w:color="auto"/>
            </w:tcBorders>
            <w:vAlign w:val="center"/>
          </w:tcPr>
          <w:p w14:paraId="5F78E28E" w14:textId="3D60A9CB" w:rsidR="00137DD8" w:rsidRPr="00F52CAE" w:rsidRDefault="00137DD8" w:rsidP="00137DD8">
            <w:pPr>
              <w:jc w:val="center"/>
              <w:rPr>
                <w:sz w:val="20"/>
                <w:szCs w:val="20"/>
              </w:rPr>
            </w:pPr>
            <w:r w:rsidRPr="00F52CAE">
              <w:rPr>
                <w:sz w:val="20"/>
                <w:szCs w:val="20"/>
              </w:rPr>
              <w:t>≥10</w:t>
            </w:r>
          </w:p>
        </w:tc>
        <w:tc>
          <w:tcPr>
            <w:tcW w:w="929" w:type="dxa"/>
            <w:tcBorders>
              <w:top w:val="nil"/>
              <w:left w:val="nil"/>
              <w:bottom w:val="single" w:sz="4" w:space="0" w:color="auto"/>
              <w:right w:val="single" w:sz="4" w:space="0" w:color="auto"/>
            </w:tcBorders>
            <w:vAlign w:val="center"/>
          </w:tcPr>
          <w:p w14:paraId="3B9849F6" w14:textId="405EAA5C" w:rsidR="00137DD8" w:rsidRPr="00F52CAE" w:rsidRDefault="00137DD8" w:rsidP="00137DD8">
            <w:pPr>
              <w:jc w:val="center"/>
              <w:rPr>
                <w:sz w:val="20"/>
                <w:szCs w:val="20"/>
              </w:rPr>
            </w:pPr>
            <w:r w:rsidRPr="00F52CAE">
              <w:rPr>
                <w:sz w:val="20"/>
                <w:szCs w:val="20"/>
              </w:rPr>
              <w:t>≥12</w:t>
            </w:r>
          </w:p>
        </w:tc>
      </w:tr>
      <w:tr w:rsidR="00F52CAE" w:rsidRPr="00F52CAE" w14:paraId="106F8737" w14:textId="77777777" w:rsidTr="00F52CAE">
        <w:trPr>
          <w:trHeight w:val="772"/>
          <w:jc w:val="center"/>
        </w:trPr>
        <w:tc>
          <w:tcPr>
            <w:tcW w:w="622" w:type="dxa"/>
            <w:tcBorders>
              <w:top w:val="nil"/>
              <w:left w:val="single" w:sz="4" w:space="0" w:color="auto"/>
              <w:bottom w:val="single" w:sz="4" w:space="0" w:color="auto"/>
              <w:right w:val="single" w:sz="4" w:space="0" w:color="auto"/>
            </w:tcBorders>
            <w:shd w:val="clear" w:color="auto" w:fill="auto"/>
            <w:noWrap/>
            <w:vAlign w:val="center"/>
          </w:tcPr>
          <w:p w14:paraId="56DD1BCA" w14:textId="3DFC4351" w:rsidR="00F52CAE" w:rsidRPr="00F52CAE" w:rsidRDefault="00137DD8" w:rsidP="00613471">
            <w:pPr>
              <w:jc w:val="center"/>
              <w:rPr>
                <w:color w:val="000000"/>
                <w:sz w:val="20"/>
                <w:szCs w:val="20"/>
              </w:rPr>
            </w:pPr>
            <w:r>
              <w:rPr>
                <w:color w:val="000000"/>
                <w:sz w:val="20"/>
                <w:szCs w:val="20"/>
              </w:rPr>
              <w:t>10</w:t>
            </w:r>
            <w:r w:rsidR="00F52CAE" w:rsidRPr="00F52CAE">
              <w:rPr>
                <w:color w:val="000000"/>
                <w:sz w:val="20"/>
                <w:szCs w:val="20"/>
              </w:rPr>
              <w:t>.</w:t>
            </w:r>
          </w:p>
        </w:tc>
        <w:tc>
          <w:tcPr>
            <w:tcW w:w="3060" w:type="dxa"/>
            <w:tcBorders>
              <w:top w:val="nil"/>
              <w:left w:val="nil"/>
              <w:bottom w:val="single" w:sz="4" w:space="0" w:color="auto"/>
              <w:right w:val="single" w:sz="4" w:space="0" w:color="auto"/>
            </w:tcBorders>
            <w:shd w:val="clear" w:color="auto" w:fill="auto"/>
            <w:noWrap/>
            <w:vAlign w:val="center"/>
          </w:tcPr>
          <w:p w14:paraId="7B7FEB39" w14:textId="4C50FA09" w:rsidR="00F52CAE" w:rsidRPr="00137DD8" w:rsidRDefault="00F52CAE" w:rsidP="00613471">
            <w:pPr>
              <w:jc w:val="center"/>
              <w:rPr>
                <w:bCs/>
                <w:sz w:val="20"/>
                <w:szCs w:val="20"/>
                <w:lang w:eastAsia="lt-LT"/>
              </w:rPr>
            </w:pPr>
            <w:r w:rsidRPr="00137DD8">
              <w:rPr>
                <w:sz w:val="20"/>
                <w:szCs w:val="20"/>
              </w:rPr>
              <w:t>*</w:t>
            </w:r>
            <w:r w:rsidR="006C66F7" w:rsidRPr="00F52CAE">
              <w:rPr>
                <w:sz w:val="20"/>
                <w:szCs w:val="20"/>
              </w:rPr>
              <w:t>*</w:t>
            </w:r>
            <w:r w:rsidR="00EE0AD9">
              <w:rPr>
                <w:sz w:val="20"/>
                <w:szCs w:val="20"/>
              </w:rPr>
              <w:t>*</w:t>
            </w:r>
            <w:r w:rsidR="00137DD8" w:rsidRPr="00137DD8">
              <w:rPr>
                <w:sz w:val="20"/>
                <w:szCs w:val="20"/>
              </w:rPr>
              <w:t>Aptarnaujamų savaeigio viešojo transporto maršrutų skaičius</w:t>
            </w:r>
          </w:p>
        </w:tc>
        <w:tc>
          <w:tcPr>
            <w:tcW w:w="1094" w:type="dxa"/>
            <w:tcBorders>
              <w:top w:val="nil"/>
              <w:left w:val="nil"/>
              <w:bottom w:val="single" w:sz="4" w:space="0" w:color="auto"/>
              <w:right w:val="single" w:sz="4" w:space="0" w:color="auto"/>
            </w:tcBorders>
            <w:shd w:val="clear" w:color="auto" w:fill="auto"/>
            <w:noWrap/>
            <w:vAlign w:val="center"/>
          </w:tcPr>
          <w:p w14:paraId="756FD78D" w14:textId="2113FAFB" w:rsidR="00F52CAE" w:rsidRPr="00137DD8" w:rsidRDefault="00F52CAE" w:rsidP="00613471">
            <w:pPr>
              <w:jc w:val="center"/>
              <w:rPr>
                <w:sz w:val="20"/>
                <w:szCs w:val="20"/>
              </w:rPr>
            </w:pPr>
            <w:r w:rsidRPr="00137DD8">
              <w:rPr>
                <w:sz w:val="20"/>
                <w:szCs w:val="20"/>
              </w:rPr>
              <w:t>Vnt.</w:t>
            </w:r>
          </w:p>
        </w:tc>
        <w:tc>
          <w:tcPr>
            <w:tcW w:w="958" w:type="dxa"/>
            <w:tcBorders>
              <w:top w:val="nil"/>
              <w:left w:val="nil"/>
              <w:bottom w:val="single" w:sz="4" w:space="0" w:color="auto"/>
              <w:right w:val="single" w:sz="4" w:space="0" w:color="auto"/>
            </w:tcBorders>
            <w:shd w:val="clear" w:color="auto" w:fill="auto"/>
            <w:vAlign w:val="center"/>
          </w:tcPr>
          <w:p w14:paraId="5EAD2126" w14:textId="42396F27" w:rsidR="00F52CAE" w:rsidRPr="00137DD8" w:rsidRDefault="00F52CAE" w:rsidP="00F52CAE">
            <w:pPr>
              <w:jc w:val="center"/>
              <w:rPr>
                <w:sz w:val="20"/>
                <w:szCs w:val="20"/>
              </w:rPr>
            </w:pPr>
            <w:r w:rsidRPr="00137DD8">
              <w:rPr>
                <w:sz w:val="20"/>
                <w:szCs w:val="20"/>
              </w:rPr>
              <w:t>≥</w:t>
            </w:r>
            <w:r w:rsidR="00137DD8" w:rsidRPr="00137DD8">
              <w:rPr>
                <w:sz w:val="20"/>
                <w:szCs w:val="20"/>
              </w:rPr>
              <w:t>0</w:t>
            </w:r>
          </w:p>
        </w:tc>
        <w:tc>
          <w:tcPr>
            <w:tcW w:w="993" w:type="dxa"/>
            <w:tcBorders>
              <w:top w:val="nil"/>
              <w:left w:val="nil"/>
              <w:bottom w:val="single" w:sz="4" w:space="0" w:color="auto"/>
              <w:right w:val="single" w:sz="4" w:space="0" w:color="auto"/>
            </w:tcBorders>
            <w:shd w:val="clear" w:color="auto" w:fill="auto"/>
            <w:vAlign w:val="center"/>
          </w:tcPr>
          <w:p w14:paraId="32DDA26C" w14:textId="7000FBDE" w:rsidR="00F52CAE" w:rsidRPr="00137DD8" w:rsidRDefault="00F52CAE" w:rsidP="00F52CAE">
            <w:pPr>
              <w:jc w:val="center"/>
              <w:rPr>
                <w:sz w:val="20"/>
                <w:szCs w:val="20"/>
              </w:rPr>
            </w:pPr>
            <w:r w:rsidRPr="00137DD8">
              <w:rPr>
                <w:sz w:val="20"/>
                <w:szCs w:val="20"/>
              </w:rPr>
              <w:t>≥</w:t>
            </w:r>
            <w:r w:rsidR="00137DD8" w:rsidRPr="00137DD8">
              <w:rPr>
                <w:sz w:val="20"/>
                <w:szCs w:val="20"/>
              </w:rPr>
              <w:t>0</w:t>
            </w:r>
          </w:p>
        </w:tc>
        <w:tc>
          <w:tcPr>
            <w:tcW w:w="992" w:type="dxa"/>
            <w:tcBorders>
              <w:top w:val="nil"/>
              <w:left w:val="nil"/>
              <w:bottom w:val="single" w:sz="4" w:space="0" w:color="auto"/>
              <w:right w:val="single" w:sz="4" w:space="0" w:color="auto"/>
            </w:tcBorders>
            <w:shd w:val="clear" w:color="auto" w:fill="auto"/>
            <w:vAlign w:val="center"/>
          </w:tcPr>
          <w:p w14:paraId="7BACC71F" w14:textId="46D23342" w:rsidR="00F52CAE" w:rsidRPr="00137DD8" w:rsidRDefault="00F52CAE" w:rsidP="00F52CAE">
            <w:pPr>
              <w:jc w:val="center"/>
              <w:rPr>
                <w:sz w:val="20"/>
                <w:szCs w:val="20"/>
              </w:rPr>
            </w:pPr>
            <w:r w:rsidRPr="00137DD8">
              <w:rPr>
                <w:sz w:val="20"/>
                <w:szCs w:val="20"/>
              </w:rPr>
              <w:t>≥</w:t>
            </w:r>
            <w:r w:rsidR="00137DD8" w:rsidRPr="00137DD8">
              <w:rPr>
                <w:sz w:val="20"/>
                <w:szCs w:val="20"/>
              </w:rPr>
              <w:t>0</w:t>
            </w:r>
          </w:p>
        </w:tc>
        <w:tc>
          <w:tcPr>
            <w:tcW w:w="980" w:type="dxa"/>
            <w:tcBorders>
              <w:top w:val="nil"/>
              <w:left w:val="nil"/>
              <w:bottom w:val="single" w:sz="4" w:space="0" w:color="auto"/>
              <w:right w:val="single" w:sz="4" w:space="0" w:color="auto"/>
            </w:tcBorders>
            <w:vAlign w:val="center"/>
          </w:tcPr>
          <w:p w14:paraId="2E5FF1D0" w14:textId="43CCE6A8" w:rsidR="00F52CAE" w:rsidRPr="00137DD8" w:rsidRDefault="00F52CAE" w:rsidP="00F52CAE">
            <w:pPr>
              <w:jc w:val="center"/>
              <w:rPr>
                <w:sz w:val="20"/>
                <w:szCs w:val="20"/>
              </w:rPr>
            </w:pPr>
            <w:r w:rsidRPr="00137DD8">
              <w:rPr>
                <w:sz w:val="20"/>
                <w:szCs w:val="20"/>
              </w:rPr>
              <w:t>≥</w:t>
            </w:r>
            <w:r w:rsidR="00137DD8" w:rsidRPr="00137DD8">
              <w:rPr>
                <w:sz w:val="20"/>
                <w:szCs w:val="20"/>
              </w:rPr>
              <w:t>0</w:t>
            </w:r>
          </w:p>
        </w:tc>
        <w:tc>
          <w:tcPr>
            <w:tcW w:w="929" w:type="dxa"/>
            <w:tcBorders>
              <w:top w:val="nil"/>
              <w:left w:val="nil"/>
              <w:bottom w:val="single" w:sz="4" w:space="0" w:color="auto"/>
              <w:right w:val="single" w:sz="4" w:space="0" w:color="auto"/>
            </w:tcBorders>
            <w:vAlign w:val="center"/>
          </w:tcPr>
          <w:p w14:paraId="31CC94A7" w14:textId="1E7DD559" w:rsidR="00F52CAE" w:rsidRPr="00137DD8" w:rsidRDefault="00F52CAE" w:rsidP="00F52CAE">
            <w:pPr>
              <w:jc w:val="center"/>
              <w:rPr>
                <w:sz w:val="20"/>
                <w:szCs w:val="20"/>
              </w:rPr>
            </w:pPr>
            <w:r w:rsidRPr="00137DD8">
              <w:rPr>
                <w:sz w:val="20"/>
                <w:szCs w:val="20"/>
              </w:rPr>
              <w:t>≥</w:t>
            </w:r>
            <w:r w:rsidR="00137DD8" w:rsidRPr="00137DD8">
              <w:rPr>
                <w:sz w:val="20"/>
                <w:szCs w:val="20"/>
              </w:rPr>
              <w:t>0</w:t>
            </w:r>
          </w:p>
        </w:tc>
      </w:tr>
    </w:tbl>
    <w:p w14:paraId="7E340F95" w14:textId="2ACBFF00" w:rsidR="006C66F7" w:rsidRDefault="002C4ACA" w:rsidP="00137DD8">
      <w:pPr>
        <w:jc w:val="both"/>
        <w:rPr>
          <w:sz w:val="20"/>
          <w:szCs w:val="20"/>
        </w:rPr>
      </w:pPr>
      <w:r w:rsidRPr="006C66F7">
        <w:rPr>
          <w:sz w:val="20"/>
          <w:szCs w:val="20"/>
        </w:rPr>
        <w:t>*Rodiklis įgyvendinamas Klaipėdos miesto tarybai pritarus pakeisti formulę, kurios pagrindu skaičiuojamas įkainis už Bendrovės teikiamas gatvių apšvietimo eksploatavimo paslaugas.</w:t>
      </w:r>
    </w:p>
    <w:p w14:paraId="6F025AE5" w14:textId="70C6BD00" w:rsidR="00EE0AD9" w:rsidRPr="00EE0AD9" w:rsidRDefault="00EE0AD9" w:rsidP="00137DD8">
      <w:pPr>
        <w:jc w:val="both"/>
        <w:rPr>
          <w:i/>
          <w:iCs/>
          <w:sz w:val="20"/>
          <w:szCs w:val="20"/>
          <w:lang w:val="en-US"/>
        </w:rPr>
      </w:pPr>
      <w:r>
        <w:rPr>
          <w:sz w:val="20"/>
          <w:szCs w:val="20"/>
        </w:rPr>
        <w:t>**</w:t>
      </w:r>
      <w:r>
        <w:rPr>
          <w:i/>
          <w:iCs/>
          <w:lang w:val="en-US"/>
        </w:rPr>
        <w:t xml:space="preserve"> </w:t>
      </w:r>
      <w:r w:rsidRPr="009429CB">
        <w:rPr>
          <w:iCs/>
          <w:sz w:val="20"/>
          <w:szCs w:val="20"/>
        </w:rPr>
        <w:t>Rodiklis įgyvendinamas Klaipėdos miesto tarybai patvirtinus daugiabučių namų kvartalų kiemų apšvietimo programą ir pavedus ją įgyvendinti Bendrovei tiesioginio sandorio būdu.</w:t>
      </w:r>
      <w:r>
        <w:rPr>
          <w:i/>
          <w:iCs/>
          <w:sz w:val="20"/>
          <w:szCs w:val="20"/>
          <w:lang w:val="en-US"/>
        </w:rPr>
        <w:t xml:space="preserve">  </w:t>
      </w:r>
    </w:p>
    <w:p w14:paraId="10FF4A7F" w14:textId="0641F85F" w:rsidR="00137DD8" w:rsidRDefault="00137DD8" w:rsidP="00137DD8">
      <w:pPr>
        <w:jc w:val="both"/>
        <w:rPr>
          <w:sz w:val="20"/>
          <w:szCs w:val="20"/>
        </w:rPr>
      </w:pPr>
      <w:r w:rsidRPr="006C66F7">
        <w:rPr>
          <w:sz w:val="20"/>
          <w:szCs w:val="20"/>
        </w:rPr>
        <w:t>**</w:t>
      </w:r>
      <w:r w:rsidR="00EE0AD9">
        <w:rPr>
          <w:sz w:val="20"/>
          <w:szCs w:val="20"/>
        </w:rPr>
        <w:t>*</w:t>
      </w:r>
      <w:r w:rsidRPr="006C66F7">
        <w:rPr>
          <w:sz w:val="20"/>
          <w:szCs w:val="20"/>
        </w:rPr>
        <w:t>Bendrovei pavesta iki 2027 m. pabaigos įgyvendinti pažangos projektą „Parengti savaeigio viešojo transporto atkarpoje Smiltynės keltas</w:t>
      </w:r>
      <w:r w:rsidR="00896ECD">
        <w:rPr>
          <w:sz w:val="20"/>
          <w:szCs w:val="20"/>
        </w:rPr>
        <w:t>–</w:t>
      </w:r>
      <w:r w:rsidRPr="006C66F7">
        <w:rPr>
          <w:sz w:val="20"/>
          <w:szCs w:val="20"/>
        </w:rPr>
        <w:t>Jūrų muziejus projektą bei jį įgyvendinti“. 10-rodiklis skirtas šiam pažangos projektui įgyvendinti. Siektini rodiklio rezultatai bus nustatomi tikslinant Lūkesčių raštą, kai bus įvertinta projekto įgyvendinimui numatytos teritorijos planavimo dokumentų, inžinerinės infrastruktūros plėtros ar iškėlimo poreikio analizė, sudarytas projekto planas.</w:t>
      </w:r>
    </w:p>
    <w:p w14:paraId="6965DB90" w14:textId="77777777" w:rsidR="006C66F7" w:rsidRDefault="006C66F7" w:rsidP="005F0FC8">
      <w:pPr>
        <w:rPr>
          <w:b/>
          <w:bCs/>
        </w:rPr>
      </w:pPr>
    </w:p>
    <w:p w14:paraId="0C97F369" w14:textId="2E46B3A0" w:rsidR="00E93F0E" w:rsidRPr="00366A83" w:rsidRDefault="00E93F0E" w:rsidP="00323E9C">
      <w:pPr>
        <w:ind w:firstLine="794"/>
        <w:rPr>
          <w:b/>
          <w:bCs/>
        </w:rPr>
      </w:pPr>
      <w:r w:rsidRPr="00366A83">
        <w:rPr>
          <w:b/>
          <w:bCs/>
        </w:rPr>
        <w:t>Finansiniai lūkesčiai</w:t>
      </w:r>
    </w:p>
    <w:p w14:paraId="3C61C741" w14:textId="77777777" w:rsidR="00E93F0E" w:rsidRPr="00366A83" w:rsidRDefault="00E93F0E" w:rsidP="00323E9C">
      <w:pPr>
        <w:ind w:firstLine="794"/>
        <w:jc w:val="both"/>
      </w:pPr>
      <w:r w:rsidRPr="00366A83">
        <w:t xml:space="preserve">Bendrovė turi siekti </w:t>
      </w:r>
      <w:r w:rsidR="00623DF4">
        <w:t xml:space="preserve">tvarumo, </w:t>
      </w:r>
      <w:r w:rsidRPr="00175709">
        <w:t>pelningumo</w:t>
      </w:r>
      <w:r w:rsidR="002C563F">
        <w:t xml:space="preserve">, </w:t>
      </w:r>
      <w:r w:rsidR="00DC0499" w:rsidRPr="00175709">
        <w:t xml:space="preserve">tinkamos </w:t>
      </w:r>
      <w:r w:rsidRPr="00175709">
        <w:t>akcinink</w:t>
      </w:r>
      <w:r w:rsidR="001D0A3A">
        <w:t>o</w:t>
      </w:r>
      <w:r w:rsidRPr="00366A83">
        <w:t xml:space="preserve"> investuoto kapitalo grąžos užtikrinimo</w:t>
      </w:r>
      <w:r w:rsidR="005F2FBE">
        <w:t>, dividendų pajamingumo</w:t>
      </w:r>
      <w:r w:rsidRPr="00366A83">
        <w:t>.</w:t>
      </w:r>
    </w:p>
    <w:p w14:paraId="0E25E6BA" w14:textId="77777777" w:rsidR="00366A83" w:rsidRPr="00E336A4" w:rsidRDefault="00366A83" w:rsidP="00E336A4">
      <w:pPr>
        <w:jc w:val="center"/>
        <w:rPr>
          <w:b/>
          <w:caps/>
        </w:rPr>
      </w:pPr>
    </w:p>
    <w:p w14:paraId="5F112670" w14:textId="6ED255C8" w:rsidR="00E93F0E" w:rsidRDefault="00E93F0E" w:rsidP="00E336A4">
      <w:pPr>
        <w:jc w:val="center"/>
        <w:rPr>
          <w:b/>
          <w:caps/>
        </w:rPr>
      </w:pPr>
      <w:r w:rsidRPr="00E336A4">
        <w:rPr>
          <w:b/>
          <w:caps/>
        </w:rPr>
        <w:t>FINANSINIŲ LŪKESČIŲ VERTINIMO RODIKLIAI</w:t>
      </w:r>
    </w:p>
    <w:p w14:paraId="1631C5C8" w14:textId="77777777" w:rsidR="00E336A4" w:rsidRPr="00E336A4" w:rsidRDefault="00E336A4" w:rsidP="00E336A4">
      <w:pPr>
        <w:jc w:val="center"/>
        <w:rPr>
          <w:b/>
          <w:bCs/>
        </w:rPr>
      </w:pPr>
    </w:p>
    <w:tbl>
      <w:tblPr>
        <w:tblW w:w="9351" w:type="dxa"/>
        <w:jc w:val="center"/>
        <w:tblLayout w:type="fixed"/>
        <w:tblLook w:val="04A0" w:firstRow="1" w:lastRow="0" w:firstColumn="1" w:lastColumn="0" w:noHBand="0" w:noVBand="1"/>
      </w:tblPr>
      <w:tblGrid>
        <w:gridCol w:w="619"/>
        <w:gridCol w:w="2637"/>
        <w:gridCol w:w="1134"/>
        <w:gridCol w:w="992"/>
        <w:gridCol w:w="992"/>
        <w:gridCol w:w="992"/>
        <w:gridCol w:w="993"/>
        <w:gridCol w:w="992"/>
      </w:tblGrid>
      <w:tr w:rsidR="00325EFB" w:rsidRPr="0052473E" w14:paraId="53672E60" w14:textId="070E2BF6" w:rsidTr="00325EFB">
        <w:trPr>
          <w:trHeight w:val="122"/>
          <w:jc w:val="center"/>
        </w:trPr>
        <w:tc>
          <w:tcPr>
            <w:tcW w:w="6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FC91B9" w14:textId="77777777" w:rsidR="00325EFB" w:rsidRPr="0052473E" w:rsidRDefault="00325EFB" w:rsidP="00333C18">
            <w:pPr>
              <w:jc w:val="center"/>
              <w:rPr>
                <w:b/>
                <w:bCs/>
                <w:color w:val="000000"/>
                <w:sz w:val="20"/>
                <w:szCs w:val="20"/>
              </w:rPr>
            </w:pPr>
            <w:r w:rsidRPr="0052473E">
              <w:rPr>
                <w:b/>
                <w:bCs/>
                <w:color w:val="000000"/>
                <w:sz w:val="20"/>
                <w:szCs w:val="20"/>
              </w:rPr>
              <w:t>Eil. Nr.</w:t>
            </w:r>
          </w:p>
        </w:tc>
        <w:tc>
          <w:tcPr>
            <w:tcW w:w="26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F236D" w14:textId="77777777" w:rsidR="00325EFB" w:rsidRPr="0052473E" w:rsidRDefault="00325EFB" w:rsidP="00333C18">
            <w:pPr>
              <w:jc w:val="center"/>
              <w:rPr>
                <w:b/>
                <w:bCs/>
                <w:color w:val="000000"/>
                <w:sz w:val="20"/>
                <w:szCs w:val="20"/>
              </w:rPr>
            </w:pPr>
            <w:r w:rsidRPr="0052473E">
              <w:rPr>
                <w:b/>
                <w:bCs/>
                <w:color w:val="000000"/>
                <w:sz w:val="20"/>
                <w:szCs w:val="20"/>
              </w:rPr>
              <w:t>Siektini finansiniai rodikliai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AECF6F" w14:textId="77777777" w:rsidR="00325EFB" w:rsidRPr="0052473E" w:rsidRDefault="00325EFB" w:rsidP="00333C18">
            <w:pPr>
              <w:jc w:val="center"/>
              <w:rPr>
                <w:b/>
                <w:bCs/>
                <w:color w:val="000000"/>
                <w:sz w:val="20"/>
                <w:szCs w:val="20"/>
              </w:rPr>
            </w:pPr>
            <w:r w:rsidRPr="0052473E">
              <w:rPr>
                <w:b/>
                <w:bCs/>
                <w:color w:val="000000"/>
                <w:sz w:val="20"/>
                <w:szCs w:val="20"/>
              </w:rPr>
              <w:t xml:space="preserve">Matavimo vienetas </w:t>
            </w:r>
          </w:p>
        </w:tc>
        <w:tc>
          <w:tcPr>
            <w:tcW w:w="4961" w:type="dxa"/>
            <w:gridSpan w:val="5"/>
            <w:tcBorders>
              <w:top w:val="single" w:sz="4" w:space="0" w:color="auto"/>
              <w:left w:val="nil"/>
              <w:bottom w:val="single" w:sz="4" w:space="0" w:color="auto"/>
              <w:right w:val="single" w:sz="4" w:space="0" w:color="auto"/>
            </w:tcBorders>
            <w:shd w:val="clear" w:color="auto" w:fill="auto"/>
            <w:vAlign w:val="center"/>
            <w:hideMark/>
          </w:tcPr>
          <w:p w14:paraId="45B938D6" w14:textId="0E17943E" w:rsidR="00325EFB" w:rsidRPr="0052473E" w:rsidRDefault="00325EFB" w:rsidP="00333C18">
            <w:pPr>
              <w:jc w:val="center"/>
              <w:rPr>
                <w:b/>
                <w:bCs/>
                <w:color w:val="000000"/>
                <w:sz w:val="20"/>
                <w:szCs w:val="20"/>
              </w:rPr>
            </w:pPr>
            <w:r w:rsidRPr="0052473E">
              <w:rPr>
                <w:b/>
                <w:bCs/>
                <w:color w:val="000000"/>
                <w:sz w:val="20"/>
                <w:szCs w:val="20"/>
              </w:rPr>
              <w:t>Siektinos rodiklių reikšmės</w:t>
            </w:r>
          </w:p>
        </w:tc>
      </w:tr>
      <w:tr w:rsidR="00325EFB" w:rsidRPr="0052473E" w14:paraId="1123DD82" w14:textId="6DC6339E" w:rsidTr="00325EFB">
        <w:trPr>
          <w:trHeight w:val="168"/>
          <w:jc w:val="center"/>
        </w:trPr>
        <w:tc>
          <w:tcPr>
            <w:tcW w:w="619" w:type="dxa"/>
            <w:vMerge/>
            <w:tcBorders>
              <w:top w:val="single" w:sz="4" w:space="0" w:color="auto"/>
              <w:left w:val="single" w:sz="4" w:space="0" w:color="auto"/>
              <w:bottom w:val="single" w:sz="4" w:space="0" w:color="auto"/>
              <w:right w:val="single" w:sz="4" w:space="0" w:color="auto"/>
            </w:tcBorders>
            <w:vAlign w:val="center"/>
            <w:hideMark/>
          </w:tcPr>
          <w:p w14:paraId="386B0D8A" w14:textId="77777777" w:rsidR="00325EFB" w:rsidRPr="0052473E" w:rsidRDefault="00325EFB" w:rsidP="00333C18">
            <w:pPr>
              <w:rPr>
                <w:b/>
                <w:bCs/>
                <w:color w:val="000000"/>
                <w:sz w:val="20"/>
                <w:szCs w:val="20"/>
              </w:rPr>
            </w:pPr>
          </w:p>
        </w:tc>
        <w:tc>
          <w:tcPr>
            <w:tcW w:w="2637" w:type="dxa"/>
            <w:vMerge/>
            <w:tcBorders>
              <w:top w:val="single" w:sz="4" w:space="0" w:color="auto"/>
              <w:left w:val="single" w:sz="4" w:space="0" w:color="auto"/>
              <w:bottom w:val="single" w:sz="4" w:space="0" w:color="auto"/>
              <w:right w:val="single" w:sz="4" w:space="0" w:color="auto"/>
            </w:tcBorders>
            <w:vAlign w:val="center"/>
            <w:hideMark/>
          </w:tcPr>
          <w:p w14:paraId="7DF339DA" w14:textId="77777777" w:rsidR="00325EFB" w:rsidRPr="0052473E" w:rsidRDefault="00325EFB" w:rsidP="00333C18">
            <w:pPr>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FF4E69" w14:textId="77777777" w:rsidR="00325EFB" w:rsidRPr="0052473E" w:rsidRDefault="00325EFB" w:rsidP="00333C18">
            <w:pPr>
              <w:rPr>
                <w:b/>
                <w:bCs/>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B7019D7" w14:textId="39635817" w:rsidR="00325EFB" w:rsidRPr="0052473E" w:rsidRDefault="00325EFB" w:rsidP="00333C18">
            <w:pPr>
              <w:jc w:val="center"/>
              <w:rPr>
                <w:b/>
                <w:bCs/>
                <w:color w:val="000000"/>
                <w:sz w:val="20"/>
                <w:szCs w:val="20"/>
              </w:rPr>
            </w:pPr>
            <w:r w:rsidRPr="0052473E">
              <w:rPr>
                <w:b/>
                <w:bCs/>
                <w:color w:val="000000"/>
                <w:sz w:val="20"/>
                <w:szCs w:val="20"/>
              </w:rPr>
              <w:t>2024 m.</w:t>
            </w:r>
          </w:p>
        </w:tc>
        <w:tc>
          <w:tcPr>
            <w:tcW w:w="992" w:type="dxa"/>
            <w:tcBorders>
              <w:top w:val="nil"/>
              <w:left w:val="nil"/>
              <w:bottom w:val="single" w:sz="4" w:space="0" w:color="auto"/>
              <w:right w:val="single" w:sz="4" w:space="0" w:color="auto"/>
            </w:tcBorders>
            <w:shd w:val="clear" w:color="auto" w:fill="auto"/>
            <w:noWrap/>
            <w:vAlign w:val="center"/>
            <w:hideMark/>
          </w:tcPr>
          <w:p w14:paraId="569C2525" w14:textId="6B09492B" w:rsidR="00325EFB" w:rsidRPr="0052473E" w:rsidRDefault="00325EFB" w:rsidP="00082B77">
            <w:pPr>
              <w:jc w:val="center"/>
              <w:rPr>
                <w:b/>
                <w:color w:val="000000"/>
                <w:sz w:val="20"/>
                <w:szCs w:val="20"/>
              </w:rPr>
            </w:pPr>
            <w:r w:rsidRPr="0052473E">
              <w:rPr>
                <w:b/>
                <w:color w:val="000000"/>
                <w:sz w:val="20"/>
                <w:szCs w:val="20"/>
              </w:rPr>
              <w:t>2025 m.</w:t>
            </w:r>
          </w:p>
        </w:tc>
        <w:tc>
          <w:tcPr>
            <w:tcW w:w="992" w:type="dxa"/>
            <w:tcBorders>
              <w:top w:val="nil"/>
              <w:left w:val="nil"/>
              <w:bottom w:val="single" w:sz="4" w:space="0" w:color="auto"/>
              <w:right w:val="single" w:sz="4" w:space="0" w:color="auto"/>
            </w:tcBorders>
            <w:shd w:val="clear" w:color="auto" w:fill="auto"/>
            <w:noWrap/>
            <w:vAlign w:val="center"/>
            <w:hideMark/>
          </w:tcPr>
          <w:p w14:paraId="3F49E6B1" w14:textId="2C6BF9DB" w:rsidR="00325EFB" w:rsidRPr="0052473E" w:rsidRDefault="00325EFB" w:rsidP="00082B77">
            <w:pPr>
              <w:jc w:val="center"/>
              <w:rPr>
                <w:b/>
                <w:color w:val="000000"/>
                <w:sz w:val="20"/>
                <w:szCs w:val="20"/>
              </w:rPr>
            </w:pPr>
            <w:r w:rsidRPr="0052473E">
              <w:rPr>
                <w:b/>
                <w:color w:val="000000"/>
                <w:sz w:val="20"/>
                <w:szCs w:val="20"/>
              </w:rPr>
              <w:t>2026 m.</w:t>
            </w:r>
          </w:p>
        </w:tc>
        <w:tc>
          <w:tcPr>
            <w:tcW w:w="993" w:type="dxa"/>
            <w:tcBorders>
              <w:top w:val="nil"/>
              <w:left w:val="nil"/>
              <w:bottom w:val="single" w:sz="4" w:space="0" w:color="auto"/>
              <w:right w:val="single" w:sz="4" w:space="0" w:color="auto"/>
            </w:tcBorders>
          </w:tcPr>
          <w:p w14:paraId="6702F2F5" w14:textId="77AD17F9" w:rsidR="00325EFB" w:rsidRPr="0052473E" w:rsidRDefault="00325EFB" w:rsidP="00082B77">
            <w:pPr>
              <w:jc w:val="center"/>
              <w:rPr>
                <w:b/>
                <w:color w:val="000000"/>
                <w:sz w:val="20"/>
                <w:szCs w:val="20"/>
              </w:rPr>
            </w:pPr>
            <w:r w:rsidRPr="0052473E">
              <w:rPr>
                <w:b/>
                <w:color w:val="000000"/>
                <w:sz w:val="20"/>
                <w:szCs w:val="20"/>
              </w:rPr>
              <w:t>2027 m.</w:t>
            </w:r>
          </w:p>
        </w:tc>
        <w:tc>
          <w:tcPr>
            <w:tcW w:w="992" w:type="dxa"/>
            <w:tcBorders>
              <w:top w:val="nil"/>
              <w:left w:val="nil"/>
              <w:bottom w:val="single" w:sz="4" w:space="0" w:color="auto"/>
              <w:right w:val="single" w:sz="4" w:space="0" w:color="auto"/>
            </w:tcBorders>
          </w:tcPr>
          <w:p w14:paraId="67B73858" w14:textId="3AD4C084" w:rsidR="00325EFB" w:rsidRPr="0052473E" w:rsidRDefault="00325EFB" w:rsidP="00082B77">
            <w:pPr>
              <w:jc w:val="center"/>
              <w:rPr>
                <w:b/>
                <w:color w:val="000000"/>
                <w:sz w:val="20"/>
                <w:szCs w:val="20"/>
              </w:rPr>
            </w:pPr>
            <w:r w:rsidRPr="0052473E">
              <w:rPr>
                <w:b/>
                <w:color w:val="000000"/>
                <w:sz w:val="20"/>
                <w:szCs w:val="20"/>
              </w:rPr>
              <w:t>2028 m.</w:t>
            </w:r>
          </w:p>
        </w:tc>
      </w:tr>
      <w:tr w:rsidR="00325EFB" w:rsidRPr="0052473E" w14:paraId="16C7DD6F" w14:textId="7AF98339" w:rsidTr="006C4412">
        <w:trPr>
          <w:trHeight w:val="453"/>
          <w:jc w:val="center"/>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7F58976" w14:textId="77777777" w:rsidR="00325EFB" w:rsidRPr="0052473E" w:rsidRDefault="00325EFB" w:rsidP="00333C18">
            <w:pPr>
              <w:jc w:val="center"/>
              <w:rPr>
                <w:color w:val="000000"/>
                <w:sz w:val="20"/>
                <w:szCs w:val="20"/>
              </w:rPr>
            </w:pPr>
            <w:r w:rsidRPr="0052473E">
              <w:rPr>
                <w:color w:val="000000"/>
                <w:sz w:val="20"/>
                <w:szCs w:val="20"/>
              </w:rPr>
              <w:t>1.</w:t>
            </w:r>
          </w:p>
        </w:tc>
        <w:tc>
          <w:tcPr>
            <w:tcW w:w="2637" w:type="dxa"/>
            <w:tcBorders>
              <w:top w:val="nil"/>
              <w:left w:val="nil"/>
              <w:bottom w:val="single" w:sz="4" w:space="0" w:color="auto"/>
              <w:right w:val="single" w:sz="4" w:space="0" w:color="auto"/>
            </w:tcBorders>
            <w:shd w:val="clear" w:color="auto" w:fill="auto"/>
            <w:noWrap/>
            <w:vAlign w:val="center"/>
            <w:hideMark/>
          </w:tcPr>
          <w:p w14:paraId="11A7476A" w14:textId="77777777" w:rsidR="00325EFB" w:rsidRPr="0052473E" w:rsidRDefault="00325EFB" w:rsidP="00333C18">
            <w:pPr>
              <w:jc w:val="center"/>
              <w:rPr>
                <w:bCs/>
                <w:color w:val="000000"/>
                <w:sz w:val="20"/>
                <w:szCs w:val="20"/>
              </w:rPr>
            </w:pPr>
            <w:r w:rsidRPr="0052473E">
              <w:rPr>
                <w:bCs/>
                <w:color w:val="000000"/>
                <w:sz w:val="20"/>
                <w:szCs w:val="20"/>
              </w:rPr>
              <w:t>Grynasis pelningumas</w:t>
            </w:r>
          </w:p>
        </w:tc>
        <w:tc>
          <w:tcPr>
            <w:tcW w:w="1134" w:type="dxa"/>
            <w:tcBorders>
              <w:top w:val="nil"/>
              <w:left w:val="nil"/>
              <w:bottom w:val="single" w:sz="4" w:space="0" w:color="auto"/>
              <w:right w:val="single" w:sz="4" w:space="0" w:color="auto"/>
            </w:tcBorders>
            <w:shd w:val="clear" w:color="auto" w:fill="auto"/>
            <w:noWrap/>
            <w:vAlign w:val="center"/>
            <w:hideMark/>
          </w:tcPr>
          <w:p w14:paraId="596B754A" w14:textId="77777777" w:rsidR="00325EFB" w:rsidRPr="0052473E" w:rsidRDefault="00325EFB" w:rsidP="00333C18">
            <w:pPr>
              <w:jc w:val="center"/>
              <w:rPr>
                <w:color w:val="000000"/>
                <w:sz w:val="20"/>
                <w:szCs w:val="20"/>
              </w:rPr>
            </w:pPr>
            <w:r w:rsidRPr="0052473E">
              <w:rPr>
                <w:color w:val="000000"/>
                <w:sz w:val="20"/>
                <w:szCs w:val="20"/>
              </w:rPr>
              <w:t>Proc.</w:t>
            </w:r>
          </w:p>
        </w:tc>
        <w:tc>
          <w:tcPr>
            <w:tcW w:w="992" w:type="dxa"/>
            <w:tcBorders>
              <w:top w:val="nil"/>
              <w:left w:val="nil"/>
              <w:bottom w:val="single" w:sz="4" w:space="0" w:color="auto"/>
              <w:right w:val="single" w:sz="4" w:space="0" w:color="auto"/>
            </w:tcBorders>
            <w:shd w:val="clear" w:color="auto" w:fill="auto"/>
            <w:vAlign w:val="center"/>
          </w:tcPr>
          <w:p w14:paraId="0A7F722D" w14:textId="2E84EC51" w:rsidR="00325EFB" w:rsidRPr="0052473E" w:rsidRDefault="00325EFB" w:rsidP="00333C18">
            <w:pPr>
              <w:jc w:val="center"/>
              <w:rPr>
                <w:color w:val="000000"/>
                <w:sz w:val="20"/>
                <w:szCs w:val="20"/>
              </w:rPr>
            </w:pPr>
            <w:r w:rsidRPr="0052473E">
              <w:rPr>
                <w:sz w:val="20"/>
                <w:szCs w:val="20"/>
              </w:rPr>
              <w:t>≥</w:t>
            </w:r>
            <w:r w:rsidR="002C6EE1" w:rsidRPr="0052473E">
              <w:rPr>
                <w:sz w:val="20"/>
                <w:szCs w:val="20"/>
              </w:rPr>
              <w:t>2</w:t>
            </w:r>
            <w:r w:rsidRPr="0052473E">
              <w:rPr>
                <w:sz w:val="20"/>
                <w:szCs w:val="20"/>
              </w:rPr>
              <w:t>,5</w:t>
            </w:r>
          </w:p>
        </w:tc>
        <w:tc>
          <w:tcPr>
            <w:tcW w:w="992" w:type="dxa"/>
            <w:tcBorders>
              <w:top w:val="nil"/>
              <w:left w:val="nil"/>
              <w:bottom w:val="single" w:sz="4" w:space="0" w:color="auto"/>
              <w:right w:val="single" w:sz="4" w:space="0" w:color="auto"/>
            </w:tcBorders>
            <w:shd w:val="clear" w:color="auto" w:fill="auto"/>
            <w:vAlign w:val="center"/>
          </w:tcPr>
          <w:p w14:paraId="564BD71A" w14:textId="1A87E015" w:rsidR="00325EFB" w:rsidRPr="0052473E" w:rsidRDefault="00325EFB" w:rsidP="00333C18">
            <w:pPr>
              <w:jc w:val="center"/>
              <w:rPr>
                <w:color w:val="000000"/>
                <w:sz w:val="20"/>
                <w:szCs w:val="20"/>
              </w:rPr>
            </w:pPr>
            <w:r w:rsidRPr="0052473E">
              <w:rPr>
                <w:sz w:val="20"/>
                <w:szCs w:val="20"/>
              </w:rPr>
              <w:t>≥2,5</w:t>
            </w:r>
          </w:p>
        </w:tc>
        <w:tc>
          <w:tcPr>
            <w:tcW w:w="992" w:type="dxa"/>
            <w:tcBorders>
              <w:top w:val="nil"/>
              <w:left w:val="nil"/>
              <w:bottom w:val="single" w:sz="4" w:space="0" w:color="auto"/>
              <w:right w:val="single" w:sz="4" w:space="0" w:color="auto"/>
            </w:tcBorders>
            <w:shd w:val="clear" w:color="auto" w:fill="auto"/>
            <w:vAlign w:val="center"/>
          </w:tcPr>
          <w:p w14:paraId="3687E779" w14:textId="7DD4B652" w:rsidR="00325EFB" w:rsidRPr="0052473E" w:rsidRDefault="00325EFB" w:rsidP="00333C18">
            <w:pPr>
              <w:jc w:val="center"/>
              <w:rPr>
                <w:color w:val="000000"/>
                <w:sz w:val="20"/>
                <w:szCs w:val="20"/>
              </w:rPr>
            </w:pPr>
            <w:r w:rsidRPr="0052473E">
              <w:rPr>
                <w:sz w:val="20"/>
                <w:szCs w:val="20"/>
              </w:rPr>
              <w:t>≥2,</w:t>
            </w:r>
            <w:r w:rsidR="0052473E" w:rsidRPr="0052473E">
              <w:rPr>
                <w:sz w:val="20"/>
                <w:szCs w:val="20"/>
              </w:rPr>
              <w:t>5</w:t>
            </w:r>
          </w:p>
        </w:tc>
        <w:tc>
          <w:tcPr>
            <w:tcW w:w="993" w:type="dxa"/>
            <w:tcBorders>
              <w:top w:val="nil"/>
              <w:left w:val="nil"/>
              <w:bottom w:val="single" w:sz="4" w:space="0" w:color="auto"/>
              <w:right w:val="single" w:sz="4" w:space="0" w:color="auto"/>
            </w:tcBorders>
            <w:vAlign w:val="center"/>
          </w:tcPr>
          <w:p w14:paraId="78AA2709" w14:textId="0EAA24DC" w:rsidR="00325EFB" w:rsidRPr="0052473E" w:rsidRDefault="0052473E" w:rsidP="00333C18">
            <w:pPr>
              <w:jc w:val="center"/>
              <w:rPr>
                <w:sz w:val="20"/>
                <w:szCs w:val="20"/>
              </w:rPr>
            </w:pPr>
            <w:r w:rsidRPr="0052473E">
              <w:rPr>
                <w:sz w:val="20"/>
                <w:szCs w:val="20"/>
              </w:rPr>
              <w:t>≥2,5</w:t>
            </w:r>
          </w:p>
        </w:tc>
        <w:tc>
          <w:tcPr>
            <w:tcW w:w="992" w:type="dxa"/>
            <w:tcBorders>
              <w:top w:val="nil"/>
              <w:left w:val="nil"/>
              <w:bottom w:val="single" w:sz="4" w:space="0" w:color="auto"/>
              <w:right w:val="single" w:sz="4" w:space="0" w:color="auto"/>
            </w:tcBorders>
            <w:vAlign w:val="center"/>
          </w:tcPr>
          <w:p w14:paraId="512C1A31" w14:textId="191F8F5E" w:rsidR="00325EFB" w:rsidRPr="0052473E" w:rsidRDefault="0052473E" w:rsidP="00333C18">
            <w:pPr>
              <w:jc w:val="center"/>
              <w:rPr>
                <w:sz w:val="20"/>
                <w:szCs w:val="20"/>
              </w:rPr>
            </w:pPr>
            <w:r w:rsidRPr="0052473E">
              <w:rPr>
                <w:sz w:val="20"/>
                <w:szCs w:val="20"/>
              </w:rPr>
              <w:t>≥2,8</w:t>
            </w:r>
          </w:p>
        </w:tc>
      </w:tr>
      <w:tr w:rsidR="0052473E" w:rsidRPr="0052473E" w14:paraId="53E7A0C0" w14:textId="23F5A6A4" w:rsidTr="006C4412">
        <w:trPr>
          <w:trHeight w:val="415"/>
          <w:jc w:val="center"/>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0C86A1F3" w14:textId="77777777" w:rsidR="0052473E" w:rsidRPr="0052473E" w:rsidRDefault="0052473E" w:rsidP="0052473E">
            <w:pPr>
              <w:jc w:val="center"/>
              <w:rPr>
                <w:color w:val="000000"/>
                <w:sz w:val="20"/>
                <w:szCs w:val="20"/>
              </w:rPr>
            </w:pPr>
            <w:r w:rsidRPr="0052473E">
              <w:rPr>
                <w:color w:val="000000"/>
                <w:sz w:val="20"/>
                <w:szCs w:val="20"/>
              </w:rPr>
              <w:t>2.</w:t>
            </w:r>
          </w:p>
        </w:tc>
        <w:tc>
          <w:tcPr>
            <w:tcW w:w="2637" w:type="dxa"/>
            <w:tcBorders>
              <w:top w:val="nil"/>
              <w:left w:val="nil"/>
              <w:bottom w:val="single" w:sz="4" w:space="0" w:color="auto"/>
              <w:right w:val="single" w:sz="4" w:space="0" w:color="auto"/>
            </w:tcBorders>
            <w:shd w:val="clear" w:color="auto" w:fill="auto"/>
            <w:noWrap/>
            <w:vAlign w:val="center"/>
            <w:hideMark/>
          </w:tcPr>
          <w:p w14:paraId="23FFAAB7" w14:textId="77777777" w:rsidR="0052473E" w:rsidRPr="0052473E" w:rsidRDefault="0052473E" w:rsidP="0052473E">
            <w:pPr>
              <w:jc w:val="center"/>
              <w:rPr>
                <w:bCs/>
                <w:color w:val="000000"/>
                <w:sz w:val="20"/>
                <w:szCs w:val="20"/>
              </w:rPr>
            </w:pPr>
            <w:r w:rsidRPr="0052473E">
              <w:rPr>
                <w:bCs/>
                <w:color w:val="000000"/>
                <w:sz w:val="20"/>
                <w:szCs w:val="20"/>
              </w:rPr>
              <w:t>Skolos ir nuosavybės santykis</w:t>
            </w:r>
          </w:p>
        </w:tc>
        <w:tc>
          <w:tcPr>
            <w:tcW w:w="1134" w:type="dxa"/>
            <w:tcBorders>
              <w:top w:val="nil"/>
              <w:left w:val="nil"/>
              <w:bottom w:val="single" w:sz="4" w:space="0" w:color="auto"/>
              <w:right w:val="single" w:sz="4" w:space="0" w:color="auto"/>
            </w:tcBorders>
            <w:shd w:val="clear" w:color="auto" w:fill="auto"/>
            <w:noWrap/>
            <w:vAlign w:val="center"/>
            <w:hideMark/>
          </w:tcPr>
          <w:p w14:paraId="2244F43E" w14:textId="77777777" w:rsidR="0052473E" w:rsidRPr="0052473E" w:rsidRDefault="0052473E" w:rsidP="0052473E">
            <w:pPr>
              <w:jc w:val="center"/>
              <w:rPr>
                <w:color w:val="000000"/>
                <w:sz w:val="20"/>
                <w:szCs w:val="20"/>
              </w:rPr>
            </w:pPr>
            <w:r w:rsidRPr="0052473E">
              <w:rPr>
                <w:color w:val="000000"/>
                <w:sz w:val="20"/>
                <w:szCs w:val="20"/>
              </w:rPr>
              <w:t>Koef.</w:t>
            </w:r>
          </w:p>
        </w:tc>
        <w:tc>
          <w:tcPr>
            <w:tcW w:w="992" w:type="dxa"/>
            <w:tcBorders>
              <w:top w:val="nil"/>
              <w:left w:val="nil"/>
              <w:bottom w:val="single" w:sz="4" w:space="0" w:color="auto"/>
              <w:right w:val="single" w:sz="4" w:space="0" w:color="auto"/>
            </w:tcBorders>
            <w:shd w:val="clear" w:color="auto" w:fill="auto"/>
            <w:vAlign w:val="center"/>
          </w:tcPr>
          <w:p w14:paraId="4A5AA61F" w14:textId="243E413D" w:rsidR="0052473E" w:rsidRPr="0052473E" w:rsidRDefault="0052473E" w:rsidP="0052473E">
            <w:pPr>
              <w:jc w:val="center"/>
              <w:rPr>
                <w:color w:val="000000"/>
                <w:sz w:val="20"/>
                <w:szCs w:val="20"/>
              </w:rPr>
            </w:pPr>
            <w:r w:rsidRPr="0052473E">
              <w:rPr>
                <w:sz w:val="20"/>
                <w:szCs w:val="20"/>
              </w:rPr>
              <w:t>≤0,8</w:t>
            </w:r>
          </w:p>
        </w:tc>
        <w:tc>
          <w:tcPr>
            <w:tcW w:w="992" w:type="dxa"/>
            <w:tcBorders>
              <w:top w:val="nil"/>
              <w:left w:val="nil"/>
              <w:bottom w:val="single" w:sz="4" w:space="0" w:color="auto"/>
              <w:right w:val="single" w:sz="4" w:space="0" w:color="auto"/>
            </w:tcBorders>
            <w:shd w:val="clear" w:color="auto" w:fill="auto"/>
            <w:vAlign w:val="center"/>
          </w:tcPr>
          <w:p w14:paraId="12A3C490" w14:textId="09FD3913" w:rsidR="0052473E" w:rsidRPr="0052473E" w:rsidRDefault="0052473E" w:rsidP="0052473E">
            <w:pPr>
              <w:jc w:val="center"/>
              <w:rPr>
                <w:color w:val="000000"/>
                <w:sz w:val="20"/>
                <w:szCs w:val="20"/>
              </w:rPr>
            </w:pPr>
            <w:r w:rsidRPr="0052473E">
              <w:rPr>
                <w:sz w:val="20"/>
                <w:szCs w:val="20"/>
              </w:rPr>
              <w:t>≤0,8</w:t>
            </w:r>
          </w:p>
        </w:tc>
        <w:tc>
          <w:tcPr>
            <w:tcW w:w="992" w:type="dxa"/>
            <w:tcBorders>
              <w:top w:val="nil"/>
              <w:left w:val="nil"/>
              <w:bottom w:val="single" w:sz="4" w:space="0" w:color="auto"/>
              <w:right w:val="single" w:sz="4" w:space="0" w:color="auto"/>
            </w:tcBorders>
            <w:shd w:val="clear" w:color="auto" w:fill="auto"/>
            <w:vAlign w:val="center"/>
          </w:tcPr>
          <w:p w14:paraId="2FB87EDD" w14:textId="116CEC88" w:rsidR="0052473E" w:rsidRPr="0052473E" w:rsidRDefault="0052473E" w:rsidP="0052473E">
            <w:pPr>
              <w:jc w:val="center"/>
              <w:rPr>
                <w:color w:val="000000"/>
                <w:sz w:val="20"/>
                <w:szCs w:val="20"/>
              </w:rPr>
            </w:pPr>
            <w:r w:rsidRPr="0052473E">
              <w:rPr>
                <w:sz w:val="20"/>
                <w:szCs w:val="20"/>
              </w:rPr>
              <w:t>≤0,8</w:t>
            </w:r>
          </w:p>
        </w:tc>
        <w:tc>
          <w:tcPr>
            <w:tcW w:w="993" w:type="dxa"/>
            <w:tcBorders>
              <w:top w:val="nil"/>
              <w:left w:val="nil"/>
              <w:bottom w:val="single" w:sz="4" w:space="0" w:color="auto"/>
              <w:right w:val="single" w:sz="4" w:space="0" w:color="auto"/>
            </w:tcBorders>
            <w:vAlign w:val="center"/>
          </w:tcPr>
          <w:p w14:paraId="05596E6F" w14:textId="1ABAE56A" w:rsidR="0052473E" w:rsidRPr="0052473E" w:rsidRDefault="0052473E" w:rsidP="0052473E">
            <w:pPr>
              <w:jc w:val="center"/>
              <w:rPr>
                <w:sz w:val="20"/>
                <w:szCs w:val="20"/>
              </w:rPr>
            </w:pPr>
            <w:r w:rsidRPr="0052473E">
              <w:rPr>
                <w:sz w:val="20"/>
                <w:szCs w:val="20"/>
              </w:rPr>
              <w:t>≤0,8</w:t>
            </w:r>
          </w:p>
        </w:tc>
        <w:tc>
          <w:tcPr>
            <w:tcW w:w="992" w:type="dxa"/>
            <w:tcBorders>
              <w:top w:val="nil"/>
              <w:left w:val="nil"/>
              <w:bottom w:val="single" w:sz="4" w:space="0" w:color="auto"/>
              <w:right w:val="single" w:sz="4" w:space="0" w:color="auto"/>
            </w:tcBorders>
            <w:vAlign w:val="center"/>
          </w:tcPr>
          <w:p w14:paraId="22069714" w14:textId="0EFFDC57" w:rsidR="0052473E" w:rsidRPr="0052473E" w:rsidRDefault="0052473E" w:rsidP="0052473E">
            <w:pPr>
              <w:jc w:val="center"/>
              <w:rPr>
                <w:sz w:val="20"/>
                <w:szCs w:val="20"/>
              </w:rPr>
            </w:pPr>
            <w:r w:rsidRPr="0052473E">
              <w:rPr>
                <w:sz w:val="20"/>
                <w:szCs w:val="20"/>
              </w:rPr>
              <w:t>≤0,8</w:t>
            </w:r>
          </w:p>
        </w:tc>
      </w:tr>
      <w:tr w:rsidR="00325EFB" w:rsidRPr="0052473E" w14:paraId="098B03C0" w14:textId="71DEA843" w:rsidTr="00DF4CC5">
        <w:trPr>
          <w:trHeight w:val="398"/>
          <w:jc w:val="center"/>
        </w:trPr>
        <w:tc>
          <w:tcPr>
            <w:tcW w:w="619" w:type="dxa"/>
            <w:tcBorders>
              <w:top w:val="nil"/>
              <w:left w:val="single" w:sz="4" w:space="0" w:color="auto"/>
              <w:bottom w:val="single" w:sz="4" w:space="0" w:color="auto"/>
              <w:right w:val="single" w:sz="4" w:space="0" w:color="auto"/>
            </w:tcBorders>
            <w:shd w:val="clear" w:color="auto" w:fill="auto"/>
            <w:noWrap/>
            <w:vAlign w:val="center"/>
          </w:tcPr>
          <w:p w14:paraId="780ED5FD" w14:textId="77777777" w:rsidR="00325EFB" w:rsidRPr="0052473E" w:rsidRDefault="00325EFB" w:rsidP="00325EFB">
            <w:pPr>
              <w:jc w:val="center"/>
              <w:rPr>
                <w:color w:val="000000"/>
                <w:sz w:val="20"/>
                <w:szCs w:val="20"/>
              </w:rPr>
            </w:pPr>
            <w:r w:rsidRPr="0052473E">
              <w:rPr>
                <w:color w:val="000000"/>
                <w:sz w:val="20"/>
                <w:szCs w:val="20"/>
              </w:rPr>
              <w:t>3.</w:t>
            </w:r>
          </w:p>
        </w:tc>
        <w:tc>
          <w:tcPr>
            <w:tcW w:w="2637" w:type="dxa"/>
            <w:tcBorders>
              <w:top w:val="nil"/>
              <w:left w:val="nil"/>
              <w:bottom w:val="single" w:sz="4" w:space="0" w:color="auto"/>
              <w:right w:val="single" w:sz="4" w:space="0" w:color="auto"/>
            </w:tcBorders>
            <w:shd w:val="clear" w:color="auto" w:fill="auto"/>
            <w:noWrap/>
            <w:vAlign w:val="center"/>
          </w:tcPr>
          <w:p w14:paraId="6C344EDB" w14:textId="59871DB1" w:rsidR="00325EFB" w:rsidRPr="0052473E" w:rsidRDefault="0098679F" w:rsidP="00325EFB">
            <w:pPr>
              <w:jc w:val="center"/>
              <w:rPr>
                <w:bCs/>
                <w:color w:val="000000"/>
                <w:sz w:val="20"/>
                <w:szCs w:val="20"/>
              </w:rPr>
            </w:pPr>
            <w:r>
              <w:rPr>
                <w:bCs/>
                <w:color w:val="000000"/>
                <w:sz w:val="20"/>
                <w:szCs w:val="20"/>
              </w:rPr>
              <w:t>*</w:t>
            </w:r>
            <w:r w:rsidR="00325EFB" w:rsidRPr="0052473E">
              <w:rPr>
                <w:bCs/>
                <w:color w:val="000000"/>
                <w:sz w:val="20"/>
                <w:szCs w:val="20"/>
              </w:rPr>
              <w:t>Dividendai</w:t>
            </w:r>
          </w:p>
        </w:tc>
        <w:tc>
          <w:tcPr>
            <w:tcW w:w="1134" w:type="dxa"/>
            <w:tcBorders>
              <w:top w:val="nil"/>
              <w:left w:val="nil"/>
              <w:bottom w:val="single" w:sz="4" w:space="0" w:color="auto"/>
              <w:right w:val="single" w:sz="4" w:space="0" w:color="auto"/>
            </w:tcBorders>
            <w:shd w:val="clear" w:color="auto" w:fill="auto"/>
            <w:noWrap/>
            <w:vAlign w:val="center"/>
          </w:tcPr>
          <w:p w14:paraId="2DC222D1" w14:textId="787C9BB9" w:rsidR="00325EFB" w:rsidRPr="0052473E" w:rsidRDefault="00325EFB" w:rsidP="00DF4CC5">
            <w:pPr>
              <w:jc w:val="center"/>
              <w:rPr>
                <w:color w:val="000000"/>
                <w:sz w:val="20"/>
                <w:szCs w:val="20"/>
              </w:rPr>
            </w:pPr>
            <w:r w:rsidRPr="0052473E">
              <w:rPr>
                <w:color w:val="000000"/>
                <w:sz w:val="20"/>
                <w:szCs w:val="20"/>
              </w:rPr>
              <w:t xml:space="preserve">Proc. </w:t>
            </w:r>
          </w:p>
        </w:tc>
        <w:tc>
          <w:tcPr>
            <w:tcW w:w="992" w:type="dxa"/>
            <w:tcBorders>
              <w:top w:val="nil"/>
              <w:left w:val="nil"/>
              <w:bottom w:val="single" w:sz="4" w:space="0" w:color="auto"/>
              <w:right w:val="single" w:sz="4" w:space="0" w:color="auto"/>
            </w:tcBorders>
            <w:shd w:val="clear" w:color="auto" w:fill="auto"/>
            <w:vAlign w:val="center"/>
          </w:tcPr>
          <w:p w14:paraId="0BBE7E20" w14:textId="05566FB3" w:rsidR="00325EFB" w:rsidRPr="00DF4CC5" w:rsidRDefault="00B7144A" w:rsidP="00325EFB">
            <w:pPr>
              <w:jc w:val="center"/>
              <w:rPr>
                <w:color w:val="000000"/>
                <w:sz w:val="20"/>
                <w:szCs w:val="20"/>
              </w:rPr>
            </w:pPr>
            <w:r w:rsidRPr="00DF4CC5">
              <w:rPr>
                <w:color w:val="000000"/>
                <w:sz w:val="20"/>
                <w:szCs w:val="20"/>
              </w:rPr>
              <w:t>70</w:t>
            </w:r>
          </w:p>
        </w:tc>
        <w:tc>
          <w:tcPr>
            <w:tcW w:w="992" w:type="dxa"/>
            <w:tcBorders>
              <w:top w:val="nil"/>
              <w:left w:val="nil"/>
              <w:bottom w:val="single" w:sz="4" w:space="0" w:color="auto"/>
              <w:right w:val="single" w:sz="4" w:space="0" w:color="auto"/>
            </w:tcBorders>
            <w:shd w:val="clear" w:color="auto" w:fill="auto"/>
            <w:vAlign w:val="center"/>
          </w:tcPr>
          <w:p w14:paraId="25F94F11" w14:textId="6D0B7D10" w:rsidR="00325EFB" w:rsidRPr="00DF4CC5" w:rsidRDefault="00B7144A" w:rsidP="00325EFB">
            <w:pPr>
              <w:jc w:val="center"/>
              <w:rPr>
                <w:color w:val="000000"/>
                <w:sz w:val="20"/>
                <w:szCs w:val="20"/>
              </w:rPr>
            </w:pPr>
            <w:r w:rsidRPr="00DF4CC5">
              <w:rPr>
                <w:color w:val="000000"/>
                <w:sz w:val="20"/>
                <w:szCs w:val="20"/>
              </w:rPr>
              <w:t>70</w:t>
            </w:r>
          </w:p>
        </w:tc>
        <w:tc>
          <w:tcPr>
            <w:tcW w:w="992" w:type="dxa"/>
            <w:tcBorders>
              <w:top w:val="nil"/>
              <w:left w:val="nil"/>
              <w:bottom w:val="single" w:sz="4" w:space="0" w:color="auto"/>
              <w:right w:val="single" w:sz="4" w:space="0" w:color="auto"/>
            </w:tcBorders>
            <w:shd w:val="clear" w:color="auto" w:fill="auto"/>
            <w:vAlign w:val="center"/>
          </w:tcPr>
          <w:p w14:paraId="685B16EA" w14:textId="564CF453" w:rsidR="00325EFB" w:rsidRPr="00DF4CC5" w:rsidRDefault="00B7144A" w:rsidP="00325EFB">
            <w:pPr>
              <w:jc w:val="center"/>
              <w:rPr>
                <w:color w:val="000000"/>
                <w:sz w:val="20"/>
                <w:szCs w:val="20"/>
              </w:rPr>
            </w:pPr>
            <w:r w:rsidRPr="00DF4CC5">
              <w:rPr>
                <w:color w:val="000000"/>
                <w:sz w:val="20"/>
                <w:szCs w:val="20"/>
              </w:rPr>
              <w:t>70</w:t>
            </w:r>
          </w:p>
        </w:tc>
        <w:tc>
          <w:tcPr>
            <w:tcW w:w="993" w:type="dxa"/>
            <w:tcBorders>
              <w:top w:val="nil"/>
              <w:left w:val="nil"/>
              <w:bottom w:val="single" w:sz="4" w:space="0" w:color="auto"/>
              <w:right w:val="single" w:sz="4" w:space="0" w:color="auto"/>
            </w:tcBorders>
            <w:shd w:val="clear" w:color="auto" w:fill="auto"/>
            <w:vAlign w:val="center"/>
          </w:tcPr>
          <w:p w14:paraId="19777950" w14:textId="6E3010FC" w:rsidR="00325EFB" w:rsidRPr="00DF4CC5" w:rsidRDefault="00B7144A" w:rsidP="00325EFB">
            <w:pPr>
              <w:jc w:val="center"/>
              <w:rPr>
                <w:sz w:val="20"/>
                <w:szCs w:val="20"/>
              </w:rPr>
            </w:pPr>
            <w:r w:rsidRPr="00DF4CC5">
              <w:rPr>
                <w:color w:val="000000"/>
                <w:sz w:val="20"/>
                <w:szCs w:val="20"/>
              </w:rPr>
              <w:t>70</w:t>
            </w:r>
          </w:p>
        </w:tc>
        <w:tc>
          <w:tcPr>
            <w:tcW w:w="992" w:type="dxa"/>
            <w:tcBorders>
              <w:top w:val="nil"/>
              <w:left w:val="nil"/>
              <w:bottom w:val="single" w:sz="4" w:space="0" w:color="auto"/>
              <w:right w:val="single" w:sz="4" w:space="0" w:color="auto"/>
            </w:tcBorders>
            <w:shd w:val="clear" w:color="auto" w:fill="auto"/>
            <w:vAlign w:val="center"/>
          </w:tcPr>
          <w:p w14:paraId="05EA15EB" w14:textId="45FC61CB" w:rsidR="00325EFB" w:rsidRPr="00DF4CC5" w:rsidRDefault="00B7144A" w:rsidP="00325EFB">
            <w:pPr>
              <w:jc w:val="center"/>
              <w:rPr>
                <w:sz w:val="20"/>
                <w:szCs w:val="20"/>
              </w:rPr>
            </w:pPr>
            <w:r w:rsidRPr="00DF4CC5">
              <w:rPr>
                <w:color w:val="000000"/>
                <w:sz w:val="20"/>
                <w:szCs w:val="20"/>
              </w:rPr>
              <w:t>70</w:t>
            </w:r>
          </w:p>
        </w:tc>
      </w:tr>
    </w:tbl>
    <w:p w14:paraId="4955E660" w14:textId="72B1D8BC" w:rsidR="00DF4CC5" w:rsidRPr="0098679F" w:rsidRDefault="00325EFB" w:rsidP="00DF4CC5">
      <w:pPr>
        <w:jc w:val="both"/>
        <w:rPr>
          <w:sz w:val="20"/>
          <w:szCs w:val="20"/>
        </w:rPr>
      </w:pPr>
      <w:r w:rsidRPr="005F0FC8">
        <w:rPr>
          <w:sz w:val="22"/>
          <w:szCs w:val="22"/>
        </w:rPr>
        <w:t xml:space="preserve">* </w:t>
      </w:r>
      <w:bookmarkStart w:id="4" w:name="_Hlk142653516"/>
      <w:r w:rsidRPr="005F0FC8">
        <w:rPr>
          <w:sz w:val="22"/>
          <w:szCs w:val="22"/>
        </w:rPr>
        <w:t xml:space="preserve">Dividendai skiriami nuo </w:t>
      </w:r>
      <w:bookmarkEnd w:id="4"/>
      <w:r w:rsidRPr="005F0FC8">
        <w:rPr>
          <w:sz w:val="22"/>
          <w:szCs w:val="22"/>
        </w:rPr>
        <w:t>Bendrovės paskirstytino pelno</w:t>
      </w:r>
      <w:r w:rsidRPr="0098679F">
        <w:rPr>
          <w:sz w:val="22"/>
          <w:szCs w:val="22"/>
        </w:rPr>
        <w:t>, į kurį nėra įtraukiami pelno paskirstymo projekte nurodyti pervedimai iš rezervų perskirstymui sumos</w:t>
      </w:r>
      <w:r w:rsidR="00DF4CC5" w:rsidRPr="0098679F">
        <w:rPr>
          <w:sz w:val="22"/>
          <w:szCs w:val="22"/>
        </w:rPr>
        <w:t xml:space="preserve">, jei dividendų išmokėjimas </w:t>
      </w:r>
      <w:r w:rsidR="0098679F" w:rsidRPr="0098679F">
        <w:rPr>
          <w:sz w:val="22"/>
          <w:szCs w:val="22"/>
        </w:rPr>
        <w:t>neapribos Bendrovės</w:t>
      </w:r>
      <w:r w:rsidR="0098679F" w:rsidRPr="0098679F">
        <w:rPr>
          <w:sz w:val="22"/>
          <w:szCs w:val="22"/>
          <w:lang w:val="en-US"/>
        </w:rPr>
        <w:t xml:space="preserve"> valdymo </w:t>
      </w:r>
      <w:r w:rsidR="0098679F" w:rsidRPr="0098679F">
        <w:rPr>
          <w:sz w:val="22"/>
          <w:szCs w:val="22"/>
        </w:rPr>
        <w:t>organų patvirtinto strateginio veiklos plano priemonių ir investicinių planų įgyvendinimo</w:t>
      </w:r>
      <w:r w:rsidR="0098679F" w:rsidRPr="0098679F">
        <w:rPr>
          <w:sz w:val="22"/>
          <w:szCs w:val="22"/>
          <w:lang w:val="en-US"/>
        </w:rPr>
        <w:t xml:space="preserve"> /</w:t>
      </w:r>
      <w:r w:rsidR="0098679F" w:rsidRPr="0098679F">
        <w:rPr>
          <w:lang w:val="en-US"/>
        </w:rPr>
        <w:t xml:space="preserve"> </w:t>
      </w:r>
      <w:r w:rsidR="00DF4CC5" w:rsidRPr="0098679F">
        <w:rPr>
          <w:sz w:val="22"/>
          <w:szCs w:val="22"/>
        </w:rPr>
        <w:t>neprieštarauja Bendrovės turimiems sutartiniams įsipareigojimams / yra gauti kreditorių sutikimai dėl dividendų išmokėjimo.</w:t>
      </w:r>
    </w:p>
    <w:p w14:paraId="29FBE2F7" w14:textId="77777777" w:rsidR="0078596C" w:rsidRDefault="0078596C" w:rsidP="00325EFB">
      <w:pPr>
        <w:jc w:val="both"/>
        <w:rPr>
          <w:b/>
          <w:bCs/>
          <w:iCs/>
        </w:rPr>
      </w:pPr>
    </w:p>
    <w:p w14:paraId="22FE7CF0" w14:textId="1FE43104" w:rsidR="005F0FC8" w:rsidRPr="005F0FC8" w:rsidRDefault="005F0FC8" w:rsidP="00C33671">
      <w:pPr>
        <w:ind w:firstLine="1296"/>
        <w:rPr>
          <w:b/>
          <w:bCs/>
        </w:rPr>
      </w:pPr>
      <w:r w:rsidRPr="005F0FC8">
        <w:rPr>
          <w:b/>
          <w:bCs/>
        </w:rPr>
        <w:t xml:space="preserve">Papildomos užduotys </w:t>
      </w:r>
    </w:p>
    <w:p w14:paraId="180BD35D" w14:textId="77777777" w:rsidR="005F0FC8" w:rsidRPr="005F0FC8" w:rsidRDefault="005F0FC8" w:rsidP="005F0FC8">
      <w:pPr>
        <w:jc w:val="both"/>
        <w:rPr>
          <w:sz w:val="20"/>
          <w:szCs w:val="20"/>
        </w:rPr>
      </w:pPr>
    </w:p>
    <w:tbl>
      <w:tblPr>
        <w:tblStyle w:val="TableGrid"/>
        <w:tblW w:w="0" w:type="auto"/>
        <w:jc w:val="center"/>
        <w:tblLook w:val="04A0" w:firstRow="1" w:lastRow="0" w:firstColumn="1" w:lastColumn="0" w:noHBand="0" w:noVBand="1"/>
      </w:tblPr>
      <w:tblGrid>
        <w:gridCol w:w="552"/>
        <w:gridCol w:w="3335"/>
        <w:gridCol w:w="3255"/>
        <w:gridCol w:w="2486"/>
      </w:tblGrid>
      <w:tr w:rsidR="005F0FC8" w:rsidRPr="005F0FC8" w14:paraId="7D450BE2" w14:textId="5F36FFBB" w:rsidTr="00E336A4">
        <w:trPr>
          <w:trHeight w:val="407"/>
          <w:jc w:val="center"/>
        </w:trPr>
        <w:tc>
          <w:tcPr>
            <w:tcW w:w="552" w:type="dxa"/>
          </w:tcPr>
          <w:p w14:paraId="18B857E7" w14:textId="77777777" w:rsidR="005F0FC8" w:rsidRPr="005F0FC8" w:rsidRDefault="005F0FC8" w:rsidP="00735BF6">
            <w:pPr>
              <w:jc w:val="center"/>
              <w:rPr>
                <w:b/>
                <w:bCs/>
                <w:sz w:val="22"/>
                <w:szCs w:val="22"/>
              </w:rPr>
            </w:pPr>
            <w:r w:rsidRPr="005F0FC8">
              <w:rPr>
                <w:b/>
                <w:bCs/>
                <w:sz w:val="22"/>
                <w:szCs w:val="22"/>
              </w:rPr>
              <w:t>Eil. Nr.</w:t>
            </w:r>
          </w:p>
        </w:tc>
        <w:tc>
          <w:tcPr>
            <w:tcW w:w="3335" w:type="dxa"/>
            <w:vAlign w:val="center"/>
          </w:tcPr>
          <w:p w14:paraId="7310E679" w14:textId="31ED6E65" w:rsidR="005F0FC8" w:rsidRPr="005F0FC8" w:rsidRDefault="00E336A4" w:rsidP="00735BF6">
            <w:pPr>
              <w:jc w:val="center"/>
              <w:rPr>
                <w:b/>
                <w:bCs/>
                <w:sz w:val="22"/>
                <w:szCs w:val="22"/>
              </w:rPr>
            </w:pPr>
            <w:r>
              <w:rPr>
                <w:b/>
                <w:bCs/>
                <w:sz w:val="22"/>
                <w:szCs w:val="22"/>
              </w:rPr>
              <w:t>Užduotis</w:t>
            </w:r>
          </w:p>
        </w:tc>
        <w:tc>
          <w:tcPr>
            <w:tcW w:w="3255" w:type="dxa"/>
            <w:vAlign w:val="center"/>
          </w:tcPr>
          <w:p w14:paraId="6A669A94" w14:textId="77777777" w:rsidR="005F0FC8" w:rsidRPr="005F0FC8" w:rsidRDefault="005F0FC8" w:rsidP="00735BF6">
            <w:pPr>
              <w:jc w:val="center"/>
              <w:rPr>
                <w:b/>
                <w:bCs/>
                <w:sz w:val="22"/>
                <w:szCs w:val="22"/>
              </w:rPr>
            </w:pPr>
            <w:r w:rsidRPr="005F0FC8">
              <w:rPr>
                <w:b/>
                <w:bCs/>
                <w:sz w:val="22"/>
                <w:szCs w:val="22"/>
              </w:rPr>
              <w:t>Priemonė</w:t>
            </w:r>
          </w:p>
        </w:tc>
        <w:tc>
          <w:tcPr>
            <w:tcW w:w="2486" w:type="dxa"/>
            <w:vAlign w:val="center"/>
          </w:tcPr>
          <w:p w14:paraId="5BFD9AE6" w14:textId="05C4BEFC" w:rsidR="005F0FC8" w:rsidRPr="005F0FC8" w:rsidRDefault="00E336A4" w:rsidP="00E336A4">
            <w:pPr>
              <w:jc w:val="center"/>
              <w:rPr>
                <w:b/>
                <w:bCs/>
                <w:sz w:val="22"/>
                <w:szCs w:val="22"/>
              </w:rPr>
            </w:pPr>
            <w:r>
              <w:rPr>
                <w:b/>
                <w:bCs/>
                <w:sz w:val="22"/>
                <w:szCs w:val="22"/>
              </w:rPr>
              <w:t>Įvykdymo terminas</w:t>
            </w:r>
          </w:p>
        </w:tc>
      </w:tr>
      <w:tr w:rsidR="00EE0AD9" w:rsidRPr="005F0FC8" w14:paraId="5CCB8D35" w14:textId="2B2C4DF6" w:rsidTr="00D55AB8">
        <w:trPr>
          <w:jc w:val="center"/>
        </w:trPr>
        <w:tc>
          <w:tcPr>
            <w:tcW w:w="552" w:type="dxa"/>
            <w:vAlign w:val="center"/>
          </w:tcPr>
          <w:p w14:paraId="5CE5E16C" w14:textId="7E802120" w:rsidR="00EE0AD9" w:rsidRPr="005F0FC8" w:rsidRDefault="00E336A4" w:rsidP="00EE0AD9">
            <w:pPr>
              <w:jc w:val="center"/>
              <w:rPr>
                <w:bCs/>
                <w:sz w:val="22"/>
                <w:szCs w:val="22"/>
              </w:rPr>
            </w:pPr>
            <w:r>
              <w:rPr>
                <w:bCs/>
                <w:sz w:val="22"/>
                <w:szCs w:val="22"/>
              </w:rPr>
              <w:t>1</w:t>
            </w:r>
            <w:r w:rsidR="00EE0AD9" w:rsidRPr="00837050">
              <w:rPr>
                <w:bCs/>
                <w:sz w:val="22"/>
                <w:szCs w:val="22"/>
              </w:rPr>
              <w:t>.</w:t>
            </w:r>
          </w:p>
        </w:tc>
        <w:tc>
          <w:tcPr>
            <w:tcW w:w="3335" w:type="dxa"/>
            <w:vAlign w:val="center"/>
          </w:tcPr>
          <w:p w14:paraId="7A05E40B" w14:textId="283978D2" w:rsidR="00EE0AD9" w:rsidRPr="0098679F" w:rsidRDefault="00EE0AD9" w:rsidP="00EE0AD9">
            <w:pPr>
              <w:rPr>
                <w:bCs/>
                <w:sz w:val="22"/>
                <w:szCs w:val="22"/>
              </w:rPr>
            </w:pPr>
            <w:r w:rsidRPr="0098679F">
              <w:rPr>
                <w:bCs/>
                <w:sz w:val="22"/>
                <w:szCs w:val="22"/>
              </w:rPr>
              <w:t>Užtikrinti efektyvų Bendrovės turto valdymą, naudojimą ir disponavimą juo.</w:t>
            </w:r>
          </w:p>
        </w:tc>
        <w:tc>
          <w:tcPr>
            <w:tcW w:w="3255" w:type="dxa"/>
            <w:vAlign w:val="center"/>
          </w:tcPr>
          <w:p w14:paraId="4F0A64D8" w14:textId="4B3E3DE2" w:rsidR="00EE0AD9" w:rsidRPr="0098679F" w:rsidRDefault="00EE0AD9" w:rsidP="00EE0AD9">
            <w:pPr>
              <w:rPr>
                <w:bCs/>
                <w:sz w:val="22"/>
                <w:szCs w:val="22"/>
              </w:rPr>
            </w:pPr>
            <w:r w:rsidRPr="0098679F">
              <w:rPr>
                <w:bCs/>
                <w:sz w:val="22"/>
                <w:szCs w:val="22"/>
              </w:rPr>
              <w:t xml:space="preserve">Parengti ir su valdyba suderinti Bendrovės turto valdymo strategiją ir suderintą pateikti Klaipėdos miesto savivaldybei. </w:t>
            </w:r>
          </w:p>
        </w:tc>
        <w:tc>
          <w:tcPr>
            <w:tcW w:w="2486" w:type="dxa"/>
            <w:vAlign w:val="center"/>
          </w:tcPr>
          <w:p w14:paraId="5DB79920" w14:textId="45F02445" w:rsidR="00EE0AD9" w:rsidRPr="0098679F" w:rsidRDefault="00EE0AD9" w:rsidP="00EE0AD9">
            <w:pPr>
              <w:jc w:val="center"/>
              <w:rPr>
                <w:bCs/>
                <w:sz w:val="22"/>
                <w:szCs w:val="22"/>
              </w:rPr>
            </w:pPr>
            <w:r w:rsidRPr="0098679F">
              <w:rPr>
                <w:bCs/>
                <w:sz w:val="22"/>
                <w:szCs w:val="22"/>
              </w:rPr>
              <w:t>Iki 2024-06-30</w:t>
            </w:r>
          </w:p>
        </w:tc>
      </w:tr>
      <w:tr w:rsidR="00EE0AD9" w:rsidRPr="005F0FC8" w14:paraId="30DFBCA0" w14:textId="677A5AC2" w:rsidTr="00D55AB8">
        <w:trPr>
          <w:jc w:val="center"/>
        </w:trPr>
        <w:tc>
          <w:tcPr>
            <w:tcW w:w="552" w:type="dxa"/>
            <w:vAlign w:val="center"/>
          </w:tcPr>
          <w:p w14:paraId="07F502D3" w14:textId="1B46FD86" w:rsidR="00EE0AD9" w:rsidRPr="005F0FC8" w:rsidRDefault="00E336A4" w:rsidP="00EE0AD9">
            <w:pPr>
              <w:jc w:val="center"/>
              <w:rPr>
                <w:bCs/>
                <w:sz w:val="22"/>
                <w:szCs w:val="22"/>
              </w:rPr>
            </w:pPr>
            <w:r>
              <w:rPr>
                <w:bCs/>
                <w:sz w:val="22"/>
                <w:szCs w:val="22"/>
              </w:rPr>
              <w:t>2</w:t>
            </w:r>
            <w:r w:rsidR="00EE0AD9" w:rsidRPr="00837050">
              <w:rPr>
                <w:bCs/>
                <w:sz w:val="22"/>
                <w:szCs w:val="22"/>
              </w:rPr>
              <w:t>.</w:t>
            </w:r>
          </w:p>
        </w:tc>
        <w:tc>
          <w:tcPr>
            <w:tcW w:w="3335" w:type="dxa"/>
            <w:vAlign w:val="center"/>
          </w:tcPr>
          <w:p w14:paraId="5D7A0096" w14:textId="16BB84B8" w:rsidR="00EE0AD9" w:rsidRPr="0098679F" w:rsidRDefault="00EE0AD9" w:rsidP="00EE0AD9">
            <w:pPr>
              <w:rPr>
                <w:bCs/>
                <w:sz w:val="22"/>
                <w:szCs w:val="22"/>
              </w:rPr>
            </w:pPr>
            <w:r w:rsidRPr="0098679F">
              <w:rPr>
                <w:bCs/>
                <w:sz w:val="22"/>
                <w:szCs w:val="22"/>
              </w:rPr>
              <w:t>Užtikrinti efektyvų ir tinkamą Europos Sąjungos</w:t>
            </w:r>
            <w:r w:rsidR="00896ECD">
              <w:rPr>
                <w:bCs/>
                <w:sz w:val="22"/>
                <w:szCs w:val="22"/>
              </w:rPr>
              <w:t xml:space="preserve"> </w:t>
            </w:r>
            <w:r w:rsidRPr="0098679F">
              <w:rPr>
                <w:bCs/>
                <w:sz w:val="22"/>
                <w:szCs w:val="22"/>
              </w:rPr>
              <w:t>/</w:t>
            </w:r>
            <w:r w:rsidR="00896ECD">
              <w:rPr>
                <w:bCs/>
                <w:sz w:val="22"/>
                <w:szCs w:val="22"/>
              </w:rPr>
              <w:t xml:space="preserve"> </w:t>
            </w:r>
            <w:r w:rsidRPr="0098679F">
              <w:rPr>
                <w:bCs/>
                <w:sz w:val="22"/>
                <w:szCs w:val="22"/>
              </w:rPr>
              <w:t>valstybės fondų lėšų panaudojimą bendrovės funkcijų vykdymui.</w:t>
            </w:r>
          </w:p>
        </w:tc>
        <w:tc>
          <w:tcPr>
            <w:tcW w:w="3255" w:type="dxa"/>
            <w:vAlign w:val="center"/>
          </w:tcPr>
          <w:p w14:paraId="2C757394" w14:textId="3ECFB620" w:rsidR="00EE0AD9" w:rsidRPr="0098679F" w:rsidRDefault="00EE0AD9" w:rsidP="00EE0AD9">
            <w:pPr>
              <w:rPr>
                <w:b/>
                <w:bCs/>
                <w:sz w:val="22"/>
                <w:szCs w:val="22"/>
              </w:rPr>
            </w:pPr>
            <w:r w:rsidRPr="0098679F">
              <w:rPr>
                <w:color w:val="000000"/>
                <w:sz w:val="22"/>
                <w:szCs w:val="22"/>
              </w:rPr>
              <w:t xml:space="preserve">Nuolat stebėti ir vertinti paskelbtus bei planuojamus trečiųjų šalių finansuojamus projektus (programas), nustatyti galimybes juose dalyvauti bei teikti paraiškas projektų įgyvendinimui ir informaciją apie tai teikti </w:t>
            </w:r>
            <w:r w:rsidRPr="0098679F">
              <w:rPr>
                <w:bCs/>
                <w:sz w:val="22"/>
                <w:szCs w:val="22"/>
              </w:rPr>
              <w:t>Klaipėdos miesto savivaldybei.</w:t>
            </w:r>
          </w:p>
        </w:tc>
        <w:tc>
          <w:tcPr>
            <w:tcW w:w="2486" w:type="dxa"/>
            <w:vAlign w:val="center"/>
          </w:tcPr>
          <w:p w14:paraId="418AB7DA" w14:textId="77777777" w:rsidR="00EE0AD9" w:rsidRPr="0098679F" w:rsidRDefault="00EE0AD9" w:rsidP="00EE0AD9">
            <w:pPr>
              <w:jc w:val="center"/>
              <w:rPr>
                <w:iCs/>
                <w:sz w:val="22"/>
                <w:szCs w:val="22"/>
              </w:rPr>
            </w:pPr>
            <w:r w:rsidRPr="0098679F">
              <w:rPr>
                <w:bCs/>
                <w:sz w:val="22"/>
                <w:szCs w:val="22"/>
              </w:rPr>
              <w:t>Ne rečiau kaip kartą metuose</w:t>
            </w:r>
          </w:p>
          <w:p w14:paraId="5BF8A129" w14:textId="77777777" w:rsidR="00EE0AD9" w:rsidRPr="0098679F" w:rsidRDefault="00EE0AD9" w:rsidP="00EE0AD9">
            <w:pPr>
              <w:jc w:val="center"/>
              <w:rPr>
                <w:iCs/>
                <w:sz w:val="22"/>
                <w:szCs w:val="22"/>
              </w:rPr>
            </w:pPr>
          </w:p>
        </w:tc>
      </w:tr>
      <w:tr w:rsidR="005F0FC8" w:rsidRPr="005F0FC8" w14:paraId="42EA0C6D" w14:textId="23CE82F7" w:rsidTr="00C33671">
        <w:trPr>
          <w:jc w:val="center"/>
        </w:trPr>
        <w:tc>
          <w:tcPr>
            <w:tcW w:w="552" w:type="dxa"/>
            <w:vAlign w:val="center"/>
          </w:tcPr>
          <w:p w14:paraId="60C354F4" w14:textId="7752773B" w:rsidR="005F0FC8" w:rsidRPr="005F0FC8" w:rsidRDefault="00DB4F06" w:rsidP="00735BF6">
            <w:pPr>
              <w:jc w:val="center"/>
              <w:rPr>
                <w:bCs/>
                <w:sz w:val="22"/>
                <w:szCs w:val="22"/>
              </w:rPr>
            </w:pPr>
            <w:r>
              <w:rPr>
                <w:bCs/>
                <w:sz w:val="22"/>
                <w:szCs w:val="22"/>
              </w:rPr>
              <w:t>3</w:t>
            </w:r>
            <w:r w:rsidR="005F0FC8" w:rsidRPr="005F0FC8">
              <w:rPr>
                <w:bCs/>
                <w:sz w:val="22"/>
                <w:szCs w:val="22"/>
              </w:rPr>
              <w:t>.</w:t>
            </w:r>
          </w:p>
        </w:tc>
        <w:tc>
          <w:tcPr>
            <w:tcW w:w="3335" w:type="dxa"/>
            <w:vAlign w:val="center"/>
          </w:tcPr>
          <w:p w14:paraId="409F0050" w14:textId="77777777" w:rsidR="005F0FC8" w:rsidRPr="0098679F" w:rsidRDefault="005F0FC8" w:rsidP="00735BF6">
            <w:pPr>
              <w:rPr>
                <w:bCs/>
                <w:sz w:val="22"/>
                <w:szCs w:val="22"/>
              </w:rPr>
            </w:pPr>
            <w:r w:rsidRPr="0098679F">
              <w:rPr>
                <w:bCs/>
                <w:sz w:val="22"/>
                <w:szCs w:val="22"/>
              </w:rPr>
              <w:t>Rinkos dalies didinimo galimybės pervežant keleivius miesto ir priemiesčio maršrutuose.</w:t>
            </w:r>
          </w:p>
        </w:tc>
        <w:tc>
          <w:tcPr>
            <w:tcW w:w="3255" w:type="dxa"/>
            <w:vAlign w:val="center"/>
          </w:tcPr>
          <w:p w14:paraId="2EDBD794" w14:textId="73B40DCD" w:rsidR="005F0FC8" w:rsidRPr="0098679F" w:rsidRDefault="005F0FC8" w:rsidP="00735BF6">
            <w:pPr>
              <w:rPr>
                <w:iCs/>
                <w:sz w:val="22"/>
                <w:szCs w:val="22"/>
              </w:rPr>
            </w:pPr>
            <w:r w:rsidRPr="0098679F">
              <w:rPr>
                <w:iCs/>
                <w:sz w:val="22"/>
                <w:szCs w:val="22"/>
              </w:rPr>
              <w:t xml:space="preserve">Pateikti </w:t>
            </w:r>
            <w:r w:rsidR="00C33671" w:rsidRPr="0098679F">
              <w:rPr>
                <w:iCs/>
                <w:sz w:val="22"/>
                <w:szCs w:val="22"/>
              </w:rPr>
              <w:t xml:space="preserve">informaciją </w:t>
            </w:r>
            <w:r w:rsidRPr="0098679F">
              <w:rPr>
                <w:iCs/>
                <w:sz w:val="22"/>
                <w:szCs w:val="22"/>
              </w:rPr>
              <w:t xml:space="preserve">dėl rinkos dalies didinimo galimybių miesto ir priemiesčio maršrutuose. </w:t>
            </w:r>
          </w:p>
        </w:tc>
        <w:tc>
          <w:tcPr>
            <w:tcW w:w="2486" w:type="dxa"/>
            <w:vAlign w:val="center"/>
          </w:tcPr>
          <w:p w14:paraId="4482FDB8" w14:textId="5CABFF1A" w:rsidR="005F0FC8" w:rsidRPr="0098679F" w:rsidRDefault="00B9300F" w:rsidP="00C33671">
            <w:pPr>
              <w:jc w:val="center"/>
              <w:rPr>
                <w:iCs/>
                <w:sz w:val="22"/>
                <w:szCs w:val="22"/>
              </w:rPr>
            </w:pPr>
            <w:r w:rsidRPr="0098679F">
              <w:rPr>
                <w:iCs/>
                <w:sz w:val="22"/>
                <w:szCs w:val="22"/>
              </w:rPr>
              <w:t>Iki 2024-05-01</w:t>
            </w:r>
          </w:p>
        </w:tc>
      </w:tr>
      <w:tr w:rsidR="005F0FC8" w:rsidRPr="005F0FC8" w14:paraId="744DE704" w14:textId="704C5A53" w:rsidTr="00C33671">
        <w:trPr>
          <w:jc w:val="center"/>
        </w:trPr>
        <w:tc>
          <w:tcPr>
            <w:tcW w:w="552" w:type="dxa"/>
            <w:vAlign w:val="center"/>
          </w:tcPr>
          <w:p w14:paraId="27EB8C43" w14:textId="0B3401FB" w:rsidR="005F0FC8" w:rsidRPr="005F0FC8" w:rsidRDefault="00DB4F06" w:rsidP="00735BF6">
            <w:pPr>
              <w:jc w:val="center"/>
              <w:rPr>
                <w:bCs/>
                <w:sz w:val="22"/>
                <w:szCs w:val="22"/>
              </w:rPr>
            </w:pPr>
            <w:r>
              <w:rPr>
                <w:bCs/>
                <w:sz w:val="22"/>
                <w:szCs w:val="22"/>
              </w:rPr>
              <w:t>4</w:t>
            </w:r>
            <w:r w:rsidR="005F0FC8" w:rsidRPr="005F0FC8">
              <w:rPr>
                <w:bCs/>
                <w:sz w:val="22"/>
                <w:szCs w:val="22"/>
              </w:rPr>
              <w:t>.</w:t>
            </w:r>
          </w:p>
        </w:tc>
        <w:tc>
          <w:tcPr>
            <w:tcW w:w="3335" w:type="dxa"/>
            <w:vAlign w:val="center"/>
          </w:tcPr>
          <w:p w14:paraId="1270B7F1" w14:textId="77777777" w:rsidR="005F0FC8" w:rsidRPr="0098679F" w:rsidRDefault="005F0FC8" w:rsidP="00735BF6">
            <w:pPr>
              <w:rPr>
                <w:bCs/>
                <w:sz w:val="22"/>
                <w:szCs w:val="22"/>
              </w:rPr>
            </w:pPr>
            <w:r w:rsidRPr="0098679F">
              <w:rPr>
                <w:bCs/>
                <w:sz w:val="22"/>
                <w:szCs w:val="22"/>
              </w:rPr>
              <w:t>Įvertinti UAB „Vildmina“ prijungimo prie Bendrovės galimybes</w:t>
            </w:r>
          </w:p>
        </w:tc>
        <w:tc>
          <w:tcPr>
            <w:tcW w:w="3255" w:type="dxa"/>
            <w:vAlign w:val="center"/>
          </w:tcPr>
          <w:p w14:paraId="094D449D" w14:textId="2D0AFDC2" w:rsidR="005F0FC8" w:rsidRPr="0098679F" w:rsidRDefault="005F0FC8" w:rsidP="00735BF6">
            <w:pPr>
              <w:rPr>
                <w:iCs/>
                <w:sz w:val="22"/>
                <w:szCs w:val="22"/>
              </w:rPr>
            </w:pPr>
            <w:r w:rsidRPr="0098679F">
              <w:rPr>
                <w:iCs/>
                <w:sz w:val="22"/>
                <w:szCs w:val="22"/>
              </w:rPr>
              <w:t xml:space="preserve">Pateikti informaciją, analizę ir vertinimą dėl UAB „Vildmina“ prijungimo prie Bendrovės galimybių ir funkcijų vykdymo. </w:t>
            </w:r>
          </w:p>
        </w:tc>
        <w:tc>
          <w:tcPr>
            <w:tcW w:w="2486" w:type="dxa"/>
            <w:vAlign w:val="center"/>
          </w:tcPr>
          <w:p w14:paraId="3C32243A" w14:textId="6F51B7F4" w:rsidR="005F0FC8" w:rsidRPr="0098679F" w:rsidRDefault="00B9300F" w:rsidP="00C33671">
            <w:pPr>
              <w:jc w:val="center"/>
              <w:rPr>
                <w:iCs/>
                <w:sz w:val="22"/>
                <w:szCs w:val="22"/>
              </w:rPr>
            </w:pPr>
            <w:r w:rsidRPr="0098679F">
              <w:rPr>
                <w:iCs/>
                <w:sz w:val="22"/>
                <w:szCs w:val="22"/>
              </w:rPr>
              <w:t>Iki 2024-01-30</w:t>
            </w:r>
          </w:p>
        </w:tc>
      </w:tr>
      <w:tr w:rsidR="005F0FC8" w:rsidRPr="006103FF" w14:paraId="0E864F67" w14:textId="6AA4AB7F" w:rsidTr="00C33671">
        <w:trPr>
          <w:jc w:val="center"/>
        </w:trPr>
        <w:tc>
          <w:tcPr>
            <w:tcW w:w="552" w:type="dxa"/>
            <w:vAlign w:val="center"/>
          </w:tcPr>
          <w:p w14:paraId="6BA47631" w14:textId="65FE459F" w:rsidR="005F0FC8" w:rsidRPr="005F0FC8" w:rsidRDefault="00DB4F06" w:rsidP="00735BF6">
            <w:pPr>
              <w:jc w:val="center"/>
              <w:rPr>
                <w:bCs/>
                <w:sz w:val="22"/>
                <w:szCs w:val="22"/>
              </w:rPr>
            </w:pPr>
            <w:r>
              <w:rPr>
                <w:bCs/>
                <w:sz w:val="22"/>
                <w:szCs w:val="22"/>
              </w:rPr>
              <w:t>5</w:t>
            </w:r>
            <w:r w:rsidR="005F0FC8" w:rsidRPr="005F0FC8">
              <w:rPr>
                <w:bCs/>
                <w:sz w:val="22"/>
                <w:szCs w:val="22"/>
              </w:rPr>
              <w:t>.</w:t>
            </w:r>
          </w:p>
        </w:tc>
        <w:tc>
          <w:tcPr>
            <w:tcW w:w="3335" w:type="dxa"/>
            <w:vAlign w:val="center"/>
          </w:tcPr>
          <w:p w14:paraId="1F572BD1" w14:textId="77777777" w:rsidR="005F0FC8" w:rsidRPr="0098679F" w:rsidRDefault="005F0FC8" w:rsidP="00735BF6">
            <w:pPr>
              <w:rPr>
                <w:bCs/>
                <w:sz w:val="22"/>
                <w:szCs w:val="22"/>
              </w:rPr>
            </w:pPr>
            <w:r w:rsidRPr="0098679F">
              <w:rPr>
                <w:bCs/>
                <w:sz w:val="22"/>
                <w:szCs w:val="22"/>
              </w:rPr>
              <w:t>Komunalinių paslaugų plėtros galimybės</w:t>
            </w:r>
          </w:p>
        </w:tc>
        <w:tc>
          <w:tcPr>
            <w:tcW w:w="3255" w:type="dxa"/>
            <w:vAlign w:val="center"/>
          </w:tcPr>
          <w:p w14:paraId="6E38A7B2" w14:textId="69202D60" w:rsidR="005F0FC8" w:rsidRPr="0098679F" w:rsidRDefault="005F0FC8" w:rsidP="00735BF6">
            <w:pPr>
              <w:rPr>
                <w:iCs/>
                <w:sz w:val="22"/>
                <w:szCs w:val="22"/>
              </w:rPr>
            </w:pPr>
            <w:r w:rsidRPr="0098679F">
              <w:rPr>
                <w:iCs/>
                <w:sz w:val="22"/>
                <w:szCs w:val="22"/>
              </w:rPr>
              <w:t xml:space="preserve">Pateikti </w:t>
            </w:r>
            <w:r w:rsidR="00C33671" w:rsidRPr="0098679F">
              <w:rPr>
                <w:iCs/>
                <w:sz w:val="22"/>
                <w:szCs w:val="22"/>
              </w:rPr>
              <w:t>informaciją</w:t>
            </w:r>
            <w:r w:rsidRPr="0098679F">
              <w:rPr>
                <w:iCs/>
                <w:sz w:val="22"/>
                <w:szCs w:val="22"/>
              </w:rPr>
              <w:t xml:space="preserve"> apie Bendrovės galimybes teikti papildomas komunalines paslaugas mieste. </w:t>
            </w:r>
          </w:p>
        </w:tc>
        <w:tc>
          <w:tcPr>
            <w:tcW w:w="2486" w:type="dxa"/>
            <w:vAlign w:val="center"/>
          </w:tcPr>
          <w:p w14:paraId="4A540C97" w14:textId="244B08F3" w:rsidR="005F0FC8" w:rsidRPr="0098679F" w:rsidRDefault="00B9300F" w:rsidP="00C33671">
            <w:pPr>
              <w:jc w:val="center"/>
              <w:rPr>
                <w:iCs/>
                <w:sz w:val="22"/>
                <w:szCs w:val="22"/>
              </w:rPr>
            </w:pPr>
            <w:r w:rsidRPr="0098679F">
              <w:rPr>
                <w:iCs/>
                <w:sz w:val="22"/>
                <w:szCs w:val="22"/>
              </w:rPr>
              <w:t>Iki 2024-02-01</w:t>
            </w:r>
          </w:p>
        </w:tc>
      </w:tr>
      <w:tr w:rsidR="00D32152" w:rsidRPr="006103FF" w14:paraId="2C96B7A0" w14:textId="77777777" w:rsidTr="0022643B">
        <w:trPr>
          <w:jc w:val="center"/>
        </w:trPr>
        <w:tc>
          <w:tcPr>
            <w:tcW w:w="552" w:type="dxa"/>
            <w:vAlign w:val="center"/>
          </w:tcPr>
          <w:p w14:paraId="5EB602A5" w14:textId="3F644257" w:rsidR="00D32152" w:rsidRDefault="00D32152" w:rsidP="00735BF6">
            <w:pPr>
              <w:jc w:val="center"/>
              <w:rPr>
                <w:bCs/>
                <w:sz w:val="22"/>
                <w:szCs w:val="22"/>
              </w:rPr>
            </w:pPr>
            <w:r>
              <w:rPr>
                <w:bCs/>
                <w:sz w:val="22"/>
                <w:szCs w:val="22"/>
              </w:rPr>
              <w:t xml:space="preserve">6. </w:t>
            </w:r>
          </w:p>
        </w:tc>
        <w:tc>
          <w:tcPr>
            <w:tcW w:w="6590" w:type="dxa"/>
            <w:gridSpan w:val="2"/>
            <w:vAlign w:val="center"/>
          </w:tcPr>
          <w:p w14:paraId="474C7496" w14:textId="6AC27184" w:rsidR="00D32152" w:rsidRPr="0098679F" w:rsidRDefault="00D32152" w:rsidP="00735BF6">
            <w:pPr>
              <w:rPr>
                <w:iCs/>
                <w:sz w:val="22"/>
                <w:szCs w:val="22"/>
              </w:rPr>
            </w:pPr>
            <w:r w:rsidRPr="0098679F">
              <w:rPr>
                <w:iCs/>
                <w:sz w:val="22"/>
                <w:szCs w:val="22"/>
              </w:rPr>
              <w:t>Pateikti informaciją apie visų maršrutų, kuriuos aptarnauja Bendrovė mieste ir priemiestyje bei vidaus sandorių kainodarą ir pelningumą.</w:t>
            </w:r>
          </w:p>
        </w:tc>
        <w:tc>
          <w:tcPr>
            <w:tcW w:w="2486" w:type="dxa"/>
            <w:vAlign w:val="center"/>
          </w:tcPr>
          <w:p w14:paraId="5B216E70" w14:textId="3717A57E" w:rsidR="00D32152" w:rsidRPr="0098679F" w:rsidRDefault="00D32152" w:rsidP="00C33671">
            <w:pPr>
              <w:jc w:val="center"/>
              <w:rPr>
                <w:iCs/>
                <w:sz w:val="22"/>
                <w:szCs w:val="22"/>
              </w:rPr>
            </w:pPr>
            <w:r w:rsidRPr="0098679F">
              <w:rPr>
                <w:iCs/>
                <w:sz w:val="22"/>
                <w:szCs w:val="22"/>
              </w:rPr>
              <w:t>Iki 2024-02-01</w:t>
            </w:r>
          </w:p>
        </w:tc>
      </w:tr>
      <w:tr w:rsidR="00D32152" w:rsidRPr="006103FF" w14:paraId="5F435B3C" w14:textId="77777777" w:rsidTr="00C33671">
        <w:trPr>
          <w:jc w:val="center"/>
        </w:trPr>
        <w:tc>
          <w:tcPr>
            <w:tcW w:w="552" w:type="dxa"/>
            <w:vMerge w:val="restart"/>
            <w:vAlign w:val="center"/>
          </w:tcPr>
          <w:p w14:paraId="277B6436" w14:textId="17E503FD" w:rsidR="00D32152" w:rsidRDefault="00D32152" w:rsidP="00D32152">
            <w:pPr>
              <w:jc w:val="center"/>
              <w:rPr>
                <w:bCs/>
                <w:sz w:val="22"/>
                <w:szCs w:val="22"/>
              </w:rPr>
            </w:pPr>
            <w:r>
              <w:rPr>
                <w:bCs/>
                <w:sz w:val="22"/>
                <w:szCs w:val="22"/>
              </w:rPr>
              <w:t xml:space="preserve">7. </w:t>
            </w:r>
          </w:p>
        </w:tc>
        <w:tc>
          <w:tcPr>
            <w:tcW w:w="3335" w:type="dxa"/>
            <w:vMerge w:val="restart"/>
            <w:vAlign w:val="center"/>
          </w:tcPr>
          <w:p w14:paraId="369548C2" w14:textId="662BF8AD" w:rsidR="00D32152" w:rsidRPr="00861923" w:rsidRDefault="00F873BE" w:rsidP="00D32152">
            <w:pPr>
              <w:spacing w:line="252" w:lineRule="auto"/>
              <w:rPr>
                <w:sz w:val="22"/>
                <w:szCs w:val="22"/>
              </w:rPr>
            </w:pPr>
            <w:r>
              <w:rPr>
                <w:sz w:val="22"/>
                <w:szCs w:val="22"/>
              </w:rPr>
              <w:t>Nuo 2025-01-01 Bendrovei</w:t>
            </w:r>
            <w:r w:rsidR="00D32152">
              <w:rPr>
                <w:sz w:val="22"/>
                <w:szCs w:val="22"/>
              </w:rPr>
              <w:t xml:space="preserve"> </w:t>
            </w:r>
            <w:r w:rsidR="00D32152" w:rsidRPr="00861923">
              <w:rPr>
                <w:sz w:val="22"/>
                <w:szCs w:val="22"/>
              </w:rPr>
              <w:t>pradėti teikti:</w:t>
            </w:r>
          </w:p>
          <w:p w14:paraId="18150688" w14:textId="77777777" w:rsidR="00D32152" w:rsidRPr="00861923" w:rsidRDefault="00D32152" w:rsidP="00D32152">
            <w:pPr>
              <w:spacing w:line="252" w:lineRule="auto"/>
              <w:rPr>
                <w:sz w:val="22"/>
                <w:szCs w:val="22"/>
              </w:rPr>
            </w:pPr>
            <w:r w:rsidRPr="00861923">
              <w:rPr>
                <w:sz w:val="22"/>
                <w:szCs w:val="22"/>
              </w:rPr>
              <w:t>▪ centralizuotą transporto priemonių administravimą, eksploatavimą, priežiūrą;</w:t>
            </w:r>
          </w:p>
          <w:p w14:paraId="43C0441C" w14:textId="79A85C5B" w:rsidR="00D32152" w:rsidRPr="0098679F" w:rsidRDefault="00D32152" w:rsidP="00D32152">
            <w:pPr>
              <w:rPr>
                <w:bCs/>
                <w:sz w:val="22"/>
                <w:szCs w:val="22"/>
              </w:rPr>
            </w:pPr>
            <w:r w:rsidRPr="00861923">
              <w:rPr>
                <w:sz w:val="22"/>
                <w:szCs w:val="22"/>
              </w:rPr>
              <w:t>▪  pavežėjo paslaugą Klaipėdos miesto savivaldybės biudžetinių įstaigų veiklos tikslais.</w:t>
            </w:r>
          </w:p>
        </w:tc>
        <w:tc>
          <w:tcPr>
            <w:tcW w:w="3255" w:type="dxa"/>
            <w:vAlign w:val="center"/>
          </w:tcPr>
          <w:p w14:paraId="4201AD81" w14:textId="7D945D33" w:rsidR="00D32152" w:rsidRPr="00D32152" w:rsidRDefault="00D32152" w:rsidP="00D32152">
            <w:pPr>
              <w:rPr>
                <w:b/>
                <w:iCs/>
                <w:sz w:val="22"/>
                <w:szCs w:val="22"/>
              </w:rPr>
            </w:pPr>
            <w:r>
              <w:rPr>
                <w:sz w:val="22"/>
                <w:szCs w:val="22"/>
              </w:rPr>
              <w:t>1.</w:t>
            </w:r>
            <w:r w:rsidRPr="00D32152">
              <w:rPr>
                <w:sz w:val="22"/>
                <w:szCs w:val="22"/>
              </w:rPr>
              <w:t xml:space="preserve"> Įvertinti transporto priemonių poreikį, kurios turi būti perduotos Bendrovei paslaugos teikimui didinant Bendrovės įstatinį kapitalą.</w:t>
            </w:r>
          </w:p>
        </w:tc>
        <w:tc>
          <w:tcPr>
            <w:tcW w:w="2486" w:type="dxa"/>
            <w:vAlign w:val="center"/>
          </w:tcPr>
          <w:p w14:paraId="556A04B4" w14:textId="552BDE9D" w:rsidR="00D32152" w:rsidRPr="00D32152" w:rsidRDefault="00D32152" w:rsidP="00D32152">
            <w:pPr>
              <w:jc w:val="center"/>
              <w:rPr>
                <w:iCs/>
                <w:sz w:val="22"/>
                <w:szCs w:val="22"/>
              </w:rPr>
            </w:pPr>
            <w:r w:rsidRPr="00D32152">
              <w:rPr>
                <w:sz w:val="22"/>
                <w:szCs w:val="22"/>
              </w:rPr>
              <w:t>Iki 2024-07-01</w:t>
            </w:r>
          </w:p>
        </w:tc>
      </w:tr>
      <w:tr w:rsidR="00D32152" w:rsidRPr="006103FF" w14:paraId="13E8B8D0" w14:textId="77777777" w:rsidTr="00C33671">
        <w:trPr>
          <w:jc w:val="center"/>
        </w:trPr>
        <w:tc>
          <w:tcPr>
            <w:tcW w:w="552" w:type="dxa"/>
            <w:vMerge/>
            <w:vAlign w:val="center"/>
          </w:tcPr>
          <w:p w14:paraId="3A551A80" w14:textId="77777777" w:rsidR="00D32152" w:rsidRDefault="00D32152" w:rsidP="00D32152">
            <w:pPr>
              <w:jc w:val="center"/>
              <w:rPr>
                <w:bCs/>
                <w:sz w:val="22"/>
                <w:szCs w:val="22"/>
              </w:rPr>
            </w:pPr>
          </w:p>
        </w:tc>
        <w:tc>
          <w:tcPr>
            <w:tcW w:w="3335" w:type="dxa"/>
            <w:vMerge/>
            <w:vAlign w:val="center"/>
          </w:tcPr>
          <w:p w14:paraId="6DE680DB" w14:textId="77777777" w:rsidR="00D32152" w:rsidRPr="00861923" w:rsidRDefault="00D32152" w:rsidP="00D32152">
            <w:pPr>
              <w:spacing w:line="252" w:lineRule="auto"/>
              <w:rPr>
                <w:sz w:val="22"/>
                <w:szCs w:val="22"/>
              </w:rPr>
            </w:pPr>
          </w:p>
        </w:tc>
        <w:tc>
          <w:tcPr>
            <w:tcW w:w="3255" w:type="dxa"/>
            <w:vAlign w:val="center"/>
          </w:tcPr>
          <w:p w14:paraId="3EEA4207" w14:textId="6DCC1579" w:rsidR="00D32152" w:rsidRPr="00D32152" w:rsidRDefault="00D32152" w:rsidP="00D32152">
            <w:pPr>
              <w:rPr>
                <w:b/>
                <w:iCs/>
                <w:sz w:val="22"/>
                <w:szCs w:val="22"/>
              </w:rPr>
            </w:pPr>
            <w:r>
              <w:rPr>
                <w:sz w:val="22"/>
                <w:szCs w:val="22"/>
              </w:rPr>
              <w:t xml:space="preserve">2. </w:t>
            </w:r>
            <w:r w:rsidRPr="00D32152">
              <w:rPr>
                <w:sz w:val="22"/>
                <w:szCs w:val="22"/>
              </w:rPr>
              <w:t xml:space="preserve">Bendrovės valdybai ir Savivaldybės merui pateikti ir pristatyti veiksmų planą užduoties įgyvendinimui (administravimo modelis, transporto priemonių rezervavimo sistema, apmokėjimo už paslaugas sistema, pasiruošimo lygis paslaugos teikimui). </w:t>
            </w:r>
          </w:p>
        </w:tc>
        <w:tc>
          <w:tcPr>
            <w:tcW w:w="2486" w:type="dxa"/>
            <w:vAlign w:val="center"/>
          </w:tcPr>
          <w:p w14:paraId="3BF3D2BF" w14:textId="40E89D76" w:rsidR="00D32152" w:rsidRPr="00D32152" w:rsidRDefault="00D32152" w:rsidP="00D32152">
            <w:pPr>
              <w:jc w:val="center"/>
              <w:rPr>
                <w:iCs/>
                <w:sz w:val="22"/>
                <w:szCs w:val="22"/>
              </w:rPr>
            </w:pPr>
            <w:r w:rsidRPr="00D32152">
              <w:rPr>
                <w:sz w:val="22"/>
                <w:szCs w:val="22"/>
              </w:rPr>
              <w:t>Iki 2024-09-15</w:t>
            </w:r>
          </w:p>
        </w:tc>
      </w:tr>
      <w:tr w:rsidR="00D32152" w:rsidRPr="006103FF" w14:paraId="79D3020A" w14:textId="77777777" w:rsidTr="00C33671">
        <w:trPr>
          <w:jc w:val="center"/>
        </w:trPr>
        <w:tc>
          <w:tcPr>
            <w:tcW w:w="552" w:type="dxa"/>
            <w:vMerge/>
            <w:vAlign w:val="center"/>
          </w:tcPr>
          <w:p w14:paraId="2835C46F" w14:textId="77777777" w:rsidR="00D32152" w:rsidRDefault="00D32152" w:rsidP="00D32152">
            <w:pPr>
              <w:jc w:val="center"/>
              <w:rPr>
                <w:bCs/>
                <w:sz w:val="22"/>
                <w:szCs w:val="22"/>
              </w:rPr>
            </w:pPr>
          </w:p>
        </w:tc>
        <w:tc>
          <w:tcPr>
            <w:tcW w:w="3335" w:type="dxa"/>
            <w:vMerge/>
            <w:vAlign w:val="center"/>
          </w:tcPr>
          <w:p w14:paraId="31BDA081" w14:textId="77777777" w:rsidR="00D32152" w:rsidRPr="00861923" w:rsidRDefault="00D32152" w:rsidP="00D32152">
            <w:pPr>
              <w:spacing w:line="252" w:lineRule="auto"/>
              <w:rPr>
                <w:sz w:val="22"/>
                <w:szCs w:val="22"/>
              </w:rPr>
            </w:pPr>
          </w:p>
        </w:tc>
        <w:tc>
          <w:tcPr>
            <w:tcW w:w="3255" w:type="dxa"/>
            <w:vAlign w:val="center"/>
          </w:tcPr>
          <w:p w14:paraId="52C347F5" w14:textId="3EC2BB11" w:rsidR="00D32152" w:rsidRPr="00D32152" w:rsidRDefault="00D32152" w:rsidP="00D32152">
            <w:pPr>
              <w:rPr>
                <w:b/>
                <w:iCs/>
                <w:sz w:val="22"/>
                <w:szCs w:val="22"/>
              </w:rPr>
            </w:pPr>
            <w:r>
              <w:rPr>
                <w:sz w:val="22"/>
                <w:szCs w:val="22"/>
              </w:rPr>
              <w:t xml:space="preserve">3. </w:t>
            </w:r>
            <w:r w:rsidRPr="00D32152">
              <w:rPr>
                <w:sz w:val="22"/>
                <w:szCs w:val="22"/>
              </w:rPr>
              <w:t>Iš savivaldybės biudžetinių įstaigų perimti transporto priemones, reikalingas paslaugos teikimui ir Savivaldybės tarybai priėmus sprendimą dėl Bendrovės įstatinio kapitalo didinimo.</w:t>
            </w:r>
          </w:p>
        </w:tc>
        <w:tc>
          <w:tcPr>
            <w:tcW w:w="2486" w:type="dxa"/>
            <w:vAlign w:val="center"/>
          </w:tcPr>
          <w:p w14:paraId="28AC6CB4" w14:textId="54B64A82" w:rsidR="00D32152" w:rsidRPr="00D32152" w:rsidRDefault="00D32152" w:rsidP="00D32152">
            <w:pPr>
              <w:jc w:val="center"/>
              <w:rPr>
                <w:iCs/>
                <w:sz w:val="22"/>
                <w:szCs w:val="22"/>
              </w:rPr>
            </w:pPr>
            <w:r w:rsidRPr="00D32152">
              <w:rPr>
                <w:sz w:val="22"/>
                <w:szCs w:val="22"/>
              </w:rPr>
              <w:t>Iki 2024-11-30</w:t>
            </w:r>
          </w:p>
        </w:tc>
      </w:tr>
      <w:tr w:rsidR="00D32152" w:rsidRPr="006103FF" w14:paraId="60D43F5E" w14:textId="77777777" w:rsidTr="00C33671">
        <w:trPr>
          <w:jc w:val="center"/>
        </w:trPr>
        <w:tc>
          <w:tcPr>
            <w:tcW w:w="552" w:type="dxa"/>
            <w:vMerge/>
            <w:vAlign w:val="center"/>
          </w:tcPr>
          <w:p w14:paraId="5DC6C022" w14:textId="77777777" w:rsidR="00D32152" w:rsidRDefault="00D32152" w:rsidP="00D32152">
            <w:pPr>
              <w:jc w:val="center"/>
              <w:rPr>
                <w:bCs/>
                <w:sz w:val="22"/>
                <w:szCs w:val="22"/>
              </w:rPr>
            </w:pPr>
          </w:p>
        </w:tc>
        <w:tc>
          <w:tcPr>
            <w:tcW w:w="3335" w:type="dxa"/>
            <w:vMerge/>
            <w:vAlign w:val="center"/>
          </w:tcPr>
          <w:p w14:paraId="2CC5B27E" w14:textId="77777777" w:rsidR="00D32152" w:rsidRPr="00861923" w:rsidRDefault="00D32152" w:rsidP="00D32152">
            <w:pPr>
              <w:spacing w:line="252" w:lineRule="auto"/>
              <w:rPr>
                <w:sz w:val="22"/>
                <w:szCs w:val="22"/>
              </w:rPr>
            </w:pPr>
          </w:p>
        </w:tc>
        <w:tc>
          <w:tcPr>
            <w:tcW w:w="3255" w:type="dxa"/>
            <w:vAlign w:val="center"/>
          </w:tcPr>
          <w:p w14:paraId="375D52F5" w14:textId="07F20D4E" w:rsidR="00D32152" w:rsidRPr="00D32152" w:rsidRDefault="00D32152" w:rsidP="00D32152">
            <w:pPr>
              <w:spacing w:line="252" w:lineRule="auto"/>
              <w:rPr>
                <w:sz w:val="22"/>
                <w:szCs w:val="22"/>
              </w:rPr>
            </w:pPr>
            <w:r>
              <w:rPr>
                <w:sz w:val="22"/>
                <w:szCs w:val="22"/>
              </w:rPr>
              <w:t xml:space="preserve">4. </w:t>
            </w:r>
            <w:r w:rsidRPr="00D32152">
              <w:rPr>
                <w:sz w:val="22"/>
                <w:szCs w:val="22"/>
              </w:rPr>
              <w:t>Vykdyti centralizuotą transporto priemonių administravimą, eksploatavimą, priežiūrą ir</w:t>
            </w:r>
            <w:r>
              <w:rPr>
                <w:sz w:val="22"/>
                <w:szCs w:val="22"/>
              </w:rPr>
              <w:t xml:space="preserve"> </w:t>
            </w:r>
            <w:r w:rsidRPr="00D32152">
              <w:rPr>
                <w:sz w:val="22"/>
                <w:szCs w:val="22"/>
              </w:rPr>
              <w:t>teikti pavežėjo paslaugas Savivaldybės biudžetinių įstaigų veiklai užtikrinti</w:t>
            </w:r>
            <w:r w:rsidR="00F873BE">
              <w:rPr>
                <w:sz w:val="22"/>
                <w:szCs w:val="22"/>
              </w:rPr>
              <w:t>.</w:t>
            </w:r>
          </w:p>
        </w:tc>
        <w:tc>
          <w:tcPr>
            <w:tcW w:w="2486" w:type="dxa"/>
            <w:vAlign w:val="center"/>
          </w:tcPr>
          <w:p w14:paraId="124449EA" w14:textId="13C9A572" w:rsidR="00D32152" w:rsidRPr="00D32152" w:rsidRDefault="00D32152" w:rsidP="00D32152">
            <w:pPr>
              <w:jc w:val="center"/>
              <w:rPr>
                <w:iCs/>
                <w:sz w:val="22"/>
                <w:szCs w:val="22"/>
              </w:rPr>
            </w:pPr>
            <w:r w:rsidRPr="00D32152">
              <w:rPr>
                <w:sz w:val="22"/>
                <w:szCs w:val="22"/>
              </w:rPr>
              <w:t>Nuo 2025-01-01</w:t>
            </w:r>
          </w:p>
        </w:tc>
      </w:tr>
    </w:tbl>
    <w:p w14:paraId="68BFD941" w14:textId="77777777" w:rsidR="005F0FC8" w:rsidRDefault="005F0FC8" w:rsidP="00C33671">
      <w:pPr>
        <w:jc w:val="both"/>
        <w:rPr>
          <w:b/>
          <w:bCs/>
          <w:iCs/>
        </w:rPr>
      </w:pPr>
    </w:p>
    <w:p w14:paraId="7D7312FF" w14:textId="6DDD9591" w:rsidR="00E93F0E" w:rsidRPr="00366A83" w:rsidRDefault="00E93F0E" w:rsidP="00E401A1">
      <w:pPr>
        <w:ind w:firstLine="794"/>
        <w:jc w:val="both"/>
        <w:rPr>
          <w:b/>
          <w:bCs/>
          <w:iCs/>
        </w:rPr>
      </w:pPr>
      <w:r w:rsidRPr="00366A83">
        <w:rPr>
          <w:b/>
          <w:bCs/>
          <w:iCs/>
        </w:rPr>
        <w:t>Atskaitomybės poreikiai</w:t>
      </w:r>
    </w:p>
    <w:p w14:paraId="42ACC8A2" w14:textId="2228937B" w:rsidR="00E93F0E" w:rsidRPr="001A5F43" w:rsidRDefault="00E93F0E" w:rsidP="00D25D3E">
      <w:pPr>
        <w:ind w:firstLine="794"/>
        <w:jc w:val="both"/>
        <w:rPr>
          <w:iCs/>
        </w:rPr>
      </w:pPr>
      <w:r w:rsidRPr="00366A83">
        <w:rPr>
          <w:iCs/>
        </w:rPr>
        <w:t xml:space="preserve">Bendrovės </w:t>
      </w:r>
      <w:r w:rsidR="001D0A3A">
        <w:rPr>
          <w:iCs/>
        </w:rPr>
        <w:t xml:space="preserve">valdymo </w:t>
      </w:r>
      <w:r w:rsidRPr="00366A83">
        <w:rPr>
          <w:iCs/>
        </w:rPr>
        <w:t xml:space="preserve">organai turėtų reguliariai palaikyti kontaktus su </w:t>
      </w:r>
      <w:r w:rsidR="0078596C">
        <w:rPr>
          <w:iCs/>
        </w:rPr>
        <w:t>a</w:t>
      </w:r>
      <w:r w:rsidRPr="00366A83">
        <w:rPr>
          <w:iCs/>
        </w:rPr>
        <w:t xml:space="preserve">kcininko vadovybe, periodiškai pristatyti atnaujintą Bendrovės strategiją, </w:t>
      </w:r>
      <w:r w:rsidR="0078596C">
        <w:t>laiku</w:t>
      </w:r>
      <w:r w:rsidR="00551679" w:rsidRPr="00363BD7">
        <w:t xml:space="preserve"> bei išsamiai informuoti apie savo veiklą, vykdomus svarbiausius projektus</w:t>
      </w:r>
      <w:r w:rsidR="00551679">
        <w:t>, informaciją apie veiklos</w:t>
      </w:r>
      <w:r w:rsidR="00551679" w:rsidRPr="00363BD7">
        <w:t xml:space="preserve"> rezultatus</w:t>
      </w:r>
      <w:r w:rsidR="00D25D3E">
        <w:rPr>
          <w:iCs/>
        </w:rPr>
        <w:t xml:space="preserve">. </w:t>
      </w:r>
      <w:r w:rsidRPr="00753AFB">
        <w:rPr>
          <w:iCs/>
        </w:rPr>
        <w:t xml:space="preserve"> </w:t>
      </w:r>
      <w:bookmarkStart w:id="5" w:name="_Hlk142649583"/>
      <w:r w:rsidR="00D25D3E" w:rsidRPr="00547A2F">
        <w:rPr>
          <w:iCs/>
        </w:rPr>
        <w:t>Kolegial</w:t>
      </w:r>
      <w:r w:rsidR="00D25D3E">
        <w:rPr>
          <w:iCs/>
        </w:rPr>
        <w:t>u</w:t>
      </w:r>
      <w:r w:rsidR="00D25D3E" w:rsidRPr="00547A2F">
        <w:rPr>
          <w:iCs/>
        </w:rPr>
        <w:t xml:space="preserve">s </w:t>
      </w:r>
      <w:r w:rsidR="00D25D3E">
        <w:rPr>
          <w:iCs/>
        </w:rPr>
        <w:t xml:space="preserve">valdymo </w:t>
      </w:r>
      <w:r w:rsidR="00D25D3E" w:rsidRPr="00547A2F">
        <w:rPr>
          <w:iCs/>
        </w:rPr>
        <w:t>organa</w:t>
      </w:r>
      <w:r w:rsidR="00D25D3E">
        <w:rPr>
          <w:iCs/>
        </w:rPr>
        <w:t xml:space="preserve">s </w:t>
      </w:r>
      <w:r w:rsidR="00D25D3E" w:rsidRPr="00547A2F">
        <w:rPr>
          <w:iCs/>
        </w:rPr>
        <w:t>turi pateikti metin</w:t>
      </w:r>
      <w:r w:rsidR="00D25D3E">
        <w:rPr>
          <w:iCs/>
        </w:rPr>
        <w:t xml:space="preserve">ę </w:t>
      </w:r>
      <w:r w:rsidR="00D25D3E" w:rsidRPr="00547A2F">
        <w:rPr>
          <w:iCs/>
        </w:rPr>
        <w:t>savo veiklos ataskait</w:t>
      </w:r>
      <w:r w:rsidR="00D25D3E">
        <w:rPr>
          <w:iCs/>
        </w:rPr>
        <w:t>ą</w:t>
      </w:r>
      <w:r w:rsidR="00D25D3E" w:rsidRPr="00547A2F">
        <w:rPr>
          <w:iCs/>
        </w:rPr>
        <w:t>, savo veiklos vertinimo išvadas</w:t>
      </w:r>
      <w:r w:rsidR="00D25D3E">
        <w:rPr>
          <w:iCs/>
        </w:rPr>
        <w:t xml:space="preserve">, veiklos tobulinimo planą, </w:t>
      </w:r>
      <w:r w:rsidR="00D25D3E" w:rsidRPr="00547A2F">
        <w:rPr>
          <w:iCs/>
        </w:rPr>
        <w:t>ateinančių metų savo veiklos plan</w:t>
      </w:r>
      <w:r w:rsidR="00D25D3E">
        <w:rPr>
          <w:iCs/>
        </w:rPr>
        <w:t>ą, užtikrinti valdybos posėdžių protokolų ar jų išrašų pateikimą.</w:t>
      </w:r>
      <w:bookmarkEnd w:id="5"/>
    </w:p>
    <w:p w14:paraId="7999BC66" w14:textId="77777777" w:rsidR="003D35B1" w:rsidRDefault="00E93F0E" w:rsidP="003D35B1">
      <w:pPr>
        <w:ind w:firstLine="794"/>
        <w:jc w:val="both"/>
        <w:rPr>
          <w:iCs/>
        </w:rPr>
      </w:pPr>
      <w:r w:rsidRPr="00366A83">
        <w:rPr>
          <w:iCs/>
        </w:rPr>
        <w:t>Akcininkas tikisi, kad vadovaujantis protingumo principu ir gerosios valdysenos praktika, Bendrovės kolegialūs organai ir vadovas pagal kompetenciją iš anksto informuos apie esminius Bendrovės sprendimus, susijusius su akcininko interesais:</w:t>
      </w:r>
    </w:p>
    <w:p w14:paraId="19DD952F" w14:textId="090AB250" w:rsidR="003D35B1" w:rsidRDefault="003D35B1" w:rsidP="003D35B1">
      <w:pPr>
        <w:ind w:firstLine="794"/>
        <w:jc w:val="both"/>
        <w:rPr>
          <w:iCs/>
        </w:rPr>
      </w:pPr>
      <w:r w:rsidRPr="003D35B1">
        <w:rPr>
          <w:iCs/>
          <w:sz w:val="18"/>
          <w:szCs w:val="18"/>
        </w:rPr>
        <w:t>●</w:t>
      </w:r>
      <w:r>
        <w:rPr>
          <w:iCs/>
        </w:rPr>
        <w:t xml:space="preserve"> </w:t>
      </w:r>
      <w:r w:rsidR="00E93F0E" w:rsidRPr="003D35B1">
        <w:rPr>
          <w:iCs/>
        </w:rPr>
        <w:t xml:space="preserve">vadovo pasikeitimas, </w:t>
      </w:r>
    </w:p>
    <w:p w14:paraId="64B0F6ED" w14:textId="77777777" w:rsidR="003D35B1" w:rsidRDefault="003D35B1" w:rsidP="003D35B1">
      <w:pPr>
        <w:ind w:firstLine="794"/>
        <w:jc w:val="both"/>
        <w:rPr>
          <w:iCs/>
        </w:rPr>
      </w:pPr>
      <w:r w:rsidRPr="003D35B1">
        <w:rPr>
          <w:iCs/>
          <w:sz w:val="18"/>
          <w:szCs w:val="18"/>
        </w:rPr>
        <w:t>●</w:t>
      </w:r>
      <w:r>
        <w:rPr>
          <w:iCs/>
          <w:sz w:val="18"/>
          <w:szCs w:val="18"/>
        </w:rPr>
        <w:t xml:space="preserve"> </w:t>
      </w:r>
      <w:r w:rsidR="00E93F0E" w:rsidRPr="003D35B1">
        <w:rPr>
          <w:iCs/>
        </w:rPr>
        <w:t>potencialūs Bendrovės valdymo organų interesų konfliktai,</w:t>
      </w:r>
    </w:p>
    <w:p w14:paraId="73FDCD8B" w14:textId="77777777" w:rsidR="003D35B1" w:rsidRPr="003B3988" w:rsidRDefault="003D35B1" w:rsidP="003D35B1">
      <w:pPr>
        <w:ind w:firstLine="794"/>
        <w:jc w:val="both"/>
        <w:rPr>
          <w:iCs/>
          <w:lang w:val="en-US"/>
        </w:rPr>
      </w:pPr>
      <w:r w:rsidRPr="003D35B1">
        <w:rPr>
          <w:iCs/>
          <w:sz w:val="18"/>
          <w:szCs w:val="18"/>
        </w:rPr>
        <w:t>●</w:t>
      </w:r>
      <w:r>
        <w:rPr>
          <w:iCs/>
          <w:sz w:val="18"/>
          <w:szCs w:val="18"/>
        </w:rPr>
        <w:t xml:space="preserve"> </w:t>
      </w:r>
      <w:r w:rsidR="00E93F0E" w:rsidRPr="003D35B1">
        <w:rPr>
          <w:iCs/>
        </w:rPr>
        <w:t>potencialūs teisminiai ginčai,</w:t>
      </w:r>
    </w:p>
    <w:p w14:paraId="6AC33977" w14:textId="77777777" w:rsidR="003D35B1" w:rsidRDefault="003D35B1" w:rsidP="003D35B1">
      <w:pPr>
        <w:ind w:firstLine="794"/>
        <w:jc w:val="both"/>
        <w:rPr>
          <w:iCs/>
        </w:rPr>
      </w:pPr>
      <w:r w:rsidRPr="003D35B1">
        <w:rPr>
          <w:iCs/>
          <w:sz w:val="18"/>
          <w:szCs w:val="18"/>
        </w:rPr>
        <w:t>●</w:t>
      </w:r>
      <w:r>
        <w:rPr>
          <w:iCs/>
          <w:sz w:val="18"/>
          <w:szCs w:val="18"/>
        </w:rPr>
        <w:t xml:space="preserve"> </w:t>
      </w:r>
      <w:r w:rsidR="00E93F0E" w:rsidRPr="003D35B1">
        <w:rPr>
          <w:iCs/>
        </w:rPr>
        <w:t>esminiai pokyčiai Bendrovės veikloje,</w:t>
      </w:r>
    </w:p>
    <w:p w14:paraId="5E8080B1" w14:textId="77777777" w:rsidR="003D35B1" w:rsidRDefault="003D35B1" w:rsidP="003D35B1">
      <w:pPr>
        <w:ind w:firstLine="794"/>
        <w:jc w:val="both"/>
        <w:rPr>
          <w:iCs/>
        </w:rPr>
      </w:pPr>
      <w:r w:rsidRPr="003D35B1">
        <w:rPr>
          <w:iCs/>
          <w:sz w:val="18"/>
          <w:szCs w:val="18"/>
        </w:rPr>
        <w:t>●</w:t>
      </w:r>
      <w:r>
        <w:rPr>
          <w:iCs/>
          <w:sz w:val="18"/>
          <w:szCs w:val="18"/>
        </w:rPr>
        <w:t xml:space="preserve"> </w:t>
      </w:r>
      <w:r w:rsidR="00E93F0E" w:rsidRPr="003D35B1">
        <w:rPr>
          <w:iCs/>
        </w:rPr>
        <w:t>didelio masto darbuotojų atleidimai, reikšmingi struktūriniai pokyčiai,</w:t>
      </w:r>
    </w:p>
    <w:p w14:paraId="02D5E6D0" w14:textId="77777777" w:rsidR="003D35B1" w:rsidRDefault="003D35B1" w:rsidP="003D35B1">
      <w:pPr>
        <w:ind w:firstLine="794"/>
        <w:jc w:val="both"/>
        <w:rPr>
          <w:iCs/>
        </w:rPr>
      </w:pPr>
      <w:r w:rsidRPr="003D35B1">
        <w:rPr>
          <w:iCs/>
          <w:sz w:val="18"/>
          <w:szCs w:val="18"/>
        </w:rPr>
        <w:t>●</w:t>
      </w:r>
      <w:r>
        <w:rPr>
          <w:iCs/>
          <w:sz w:val="18"/>
          <w:szCs w:val="18"/>
        </w:rPr>
        <w:t xml:space="preserve"> </w:t>
      </w:r>
      <w:r w:rsidR="00E93F0E" w:rsidRPr="003D35B1">
        <w:rPr>
          <w:iCs/>
        </w:rPr>
        <w:t>galima žala visuomenei, gamtai, ekonomikai,</w:t>
      </w:r>
    </w:p>
    <w:p w14:paraId="63046B3D" w14:textId="6FC2EF48" w:rsidR="003D35B1" w:rsidRDefault="003D35B1" w:rsidP="003D35B1">
      <w:pPr>
        <w:ind w:firstLine="794"/>
        <w:jc w:val="both"/>
        <w:rPr>
          <w:iCs/>
        </w:rPr>
      </w:pPr>
      <w:r w:rsidRPr="003D35B1">
        <w:rPr>
          <w:iCs/>
          <w:sz w:val="18"/>
          <w:szCs w:val="18"/>
        </w:rPr>
        <w:t>●</w:t>
      </w:r>
      <w:r>
        <w:rPr>
          <w:iCs/>
          <w:sz w:val="18"/>
          <w:szCs w:val="18"/>
        </w:rPr>
        <w:t xml:space="preserve"> </w:t>
      </w:r>
      <w:r w:rsidR="00E93F0E" w:rsidRPr="003D35B1">
        <w:rPr>
          <w:iCs/>
        </w:rPr>
        <w:t xml:space="preserve">spaudos pranešimai, dėl kurių gali prireikti </w:t>
      </w:r>
      <w:r w:rsidR="0078596C">
        <w:rPr>
          <w:iCs/>
        </w:rPr>
        <w:t>a</w:t>
      </w:r>
      <w:r w:rsidR="00E93F0E" w:rsidRPr="003D35B1">
        <w:rPr>
          <w:iCs/>
        </w:rPr>
        <w:t>kcininko atstovų komentarų,</w:t>
      </w:r>
    </w:p>
    <w:p w14:paraId="3B92ED69" w14:textId="77777777" w:rsidR="003D35B1" w:rsidRDefault="003D35B1" w:rsidP="003D35B1">
      <w:pPr>
        <w:ind w:firstLine="794"/>
        <w:jc w:val="both"/>
        <w:rPr>
          <w:iCs/>
        </w:rPr>
      </w:pPr>
      <w:r w:rsidRPr="003D35B1">
        <w:rPr>
          <w:iCs/>
          <w:sz w:val="18"/>
          <w:szCs w:val="18"/>
        </w:rPr>
        <w:t>●</w:t>
      </w:r>
      <w:r>
        <w:rPr>
          <w:iCs/>
          <w:sz w:val="18"/>
          <w:szCs w:val="18"/>
        </w:rPr>
        <w:t xml:space="preserve"> </w:t>
      </w:r>
      <w:r w:rsidR="00E93F0E" w:rsidRPr="003D35B1">
        <w:rPr>
          <w:iCs/>
        </w:rPr>
        <w:t>bet kokio masto korupcija ar politinė intervencija,</w:t>
      </w:r>
    </w:p>
    <w:p w14:paraId="0EAAB55B" w14:textId="77777777" w:rsidR="003D35B1" w:rsidRDefault="003D35B1" w:rsidP="003D35B1">
      <w:pPr>
        <w:ind w:firstLine="794"/>
        <w:jc w:val="both"/>
        <w:rPr>
          <w:iCs/>
        </w:rPr>
      </w:pPr>
      <w:r w:rsidRPr="003D35B1">
        <w:rPr>
          <w:iCs/>
          <w:sz w:val="18"/>
          <w:szCs w:val="18"/>
        </w:rPr>
        <w:t>●</w:t>
      </w:r>
      <w:r>
        <w:rPr>
          <w:iCs/>
          <w:sz w:val="18"/>
          <w:szCs w:val="18"/>
        </w:rPr>
        <w:t xml:space="preserve"> </w:t>
      </w:r>
      <w:r w:rsidR="00E93F0E" w:rsidRPr="003D35B1">
        <w:rPr>
          <w:iCs/>
        </w:rPr>
        <w:t>kitos esminės rizikos, keliančios grėsmę Bendrovės veiklos tęstinumui,</w:t>
      </w:r>
    </w:p>
    <w:p w14:paraId="45FC203A" w14:textId="57447C0C" w:rsidR="00E93F0E" w:rsidRPr="003D35B1" w:rsidRDefault="003D35B1" w:rsidP="003D35B1">
      <w:pPr>
        <w:ind w:firstLine="794"/>
        <w:jc w:val="both"/>
        <w:rPr>
          <w:iCs/>
        </w:rPr>
      </w:pPr>
      <w:r w:rsidRPr="003D35B1">
        <w:rPr>
          <w:iCs/>
          <w:sz w:val="18"/>
          <w:szCs w:val="18"/>
        </w:rPr>
        <w:t>●</w:t>
      </w:r>
      <w:r>
        <w:rPr>
          <w:iCs/>
          <w:sz w:val="18"/>
          <w:szCs w:val="18"/>
        </w:rPr>
        <w:t xml:space="preserve"> </w:t>
      </w:r>
      <w:r w:rsidR="00E93F0E" w:rsidRPr="003D35B1">
        <w:rPr>
          <w:iCs/>
        </w:rPr>
        <w:t xml:space="preserve">kiti potencialiai su </w:t>
      </w:r>
      <w:r w:rsidR="00E60ECD">
        <w:rPr>
          <w:iCs/>
        </w:rPr>
        <w:t>a</w:t>
      </w:r>
      <w:r w:rsidR="00E93F0E" w:rsidRPr="003D35B1">
        <w:rPr>
          <w:iCs/>
        </w:rPr>
        <w:t>kcininko interesais susiję svarbūs sprendimai.</w:t>
      </w:r>
    </w:p>
    <w:p w14:paraId="746D2570" w14:textId="77777777" w:rsidR="00E93F0E" w:rsidRDefault="00E93F0E" w:rsidP="00372824">
      <w:pPr>
        <w:jc w:val="both"/>
      </w:pPr>
    </w:p>
    <w:p w14:paraId="1A4227C3" w14:textId="2CCF09D6" w:rsidR="00232B3C" w:rsidRDefault="00232B3C" w:rsidP="00232B3C">
      <w:pPr>
        <w:ind w:firstLine="794"/>
        <w:jc w:val="both"/>
      </w:pPr>
      <w:r w:rsidRPr="0023695A">
        <w:t xml:space="preserve">Akcininko lūkesčių rašte nustatyti nefinansiniai ir finansiniai lūkesčiai turi tapti integralia </w:t>
      </w:r>
      <w:r w:rsidR="005D0738">
        <w:t>Bendrovės</w:t>
      </w:r>
      <w:r w:rsidRPr="0023695A">
        <w:t xml:space="preserve"> strateginio veiklos plano dalimi.</w:t>
      </w:r>
    </w:p>
    <w:p w14:paraId="76FC10DE" w14:textId="3DBB70DC" w:rsidR="00372824" w:rsidRDefault="00372824" w:rsidP="00372824">
      <w:pPr>
        <w:ind w:firstLine="794"/>
        <w:jc w:val="both"/>
      </w:pPr>
      <w:r w:rsidRPr="00753AFB">
        <w:t>Akcininko lūkesčių įgyvendinimas</w:t>
      </w:r>
      <w:r w:rsidR="00262BE0" w:rsidRPr="00753AFB">
        <w:t xml:space="preserve">, </w:t>
      </w:r>
      <w:r w:rsidR="00AE6BC3" w:rsidRPr="00753AFB">
        <w:t xml:space="preserve">pasiektų tikslų </w:t>
      </w:r>
      <w:r w:rsidR="00262BE0" w:rsidRPr="00753AFB">
        <w:t xml:space="preserve">atitiktis </w:t>
      </w:r>
      <w:r w:rsidR="00AE6BC3" w:rsidRPr="00753AFB">
        <w:t xml:space="preserve">Bendrovei </w:t>
      </w:r>
      <w:r w:rsidR="00262BE0" w:rsidRPr="00753AFB">
        <w:t xml:space="preserve">nustatytiems tikslams </w:t>
      </w:r>
      <w:r w:rsidR="003D7879">
        <w:t xml:space="preserve">(išskyrus papildomas užduotis) </w:t>
      </w:r>
      <w:r w:rsidRPr="00753AFB">
        <w:t xml:space="preserve">vertinama </w:t>
      </w:r>
      <w:r w:rsidR="00056299">
        <w:t>Klaipėdos miesto savivaldybės t</w:t>
      </w:r>
      <w:r w:rsidR="00262BE0" w:rsidRPr="00753AFB">
        <w:t xml:space="preserve">arybos </w:t>
      </w:r>
      <w:r w:rsidR="00C33671">
        <w:t xml:space="preserve">ir mero </w:t>
      </w:r>
      <w:r w:rsidR="00262BE0" w:rsidRPr="00753AFB">
        <w:t>nustatyta tvarka.</w:t>
      </w:r>
      <w:r w:rsidR="00262BE0">
        <w:t xml:space="preserve"> </w:t>
      </w:r>
    </w:p>
    <w:p w14:paraId="596924E6" w14:textId="31B97E0C" w:rsidR="007A788F" w:rsidRDefault="007A788F" w:rsidP="007A788F">
      <w:pPr>
        <w:jc w:val="center"/>
      </w:pPr>
    </w:p>
    <w:p w14:paraId="34255AD1" w14:textId="39C3AC9B" w:rsidR="007A788F" w:rsidRDefault="007A788F" w:rsidP="007A788F">
      <w:pPr>
        <w:jc w:val="center"/>
      </w:pPr>
      <w:r>
        <w:t>______________________</w:t>
      </w:r>
    </w:p>
    <w:p w14:paraId="3F201B38" w14:textId="77777777" w:rsidR="00AE6BC3" w:rsidRDefault="00AE6BC3" w:rsidP="00372824">
      <w:pPr>
        <w:ind w:firstLine="794"/>
        <w:jc w:val="both"/>
      </w:pPr>
    </w:p>
    <w:sectPr w:rsidR="00AE6BC3" w:rsidSect="000E15EF">
      <w:headerReference w:type="default" r:id="rId7"/>
      <w:headerReference w:type="firs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BFEAA" w14:textId="77777777" w:rsidR="000E15EF" w:rsidRDefault="000E15EF" w:rsidP="000E15EF">
      <w:r>
        <w:separator/>
      </w:r>
    </w:p>
  </w:endnote>
  <w:endnote w:type="continuationSeparator" w:id="0">
    <w:p w14:paraId="6F77DE14" w14:textId="77777777" w:rsidR="000E15EF" w:rsidRDefault="000E15EF" w:rsidP="000E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tillium L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106C0" w14:textId="77777777" w:rsidR="000E15EF" w:rsidRDefault="000E15EF" w:rsidP="000E15EF">
      <w:r>
        <w:separator/>
      </w:r>
    </w:p>
  </w:footnote>
  <w:footnote w:type="continuationSeparator" w:id="0">
    <w:p w14:paraId="3D908D0A" w14:textId="77777777" w:rsidR="000E15EF" w:rsidRDefault="000E15EF" w:rsidP="000E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5394890"/>
      <w:docPartObj>
        <w:docPartGallery w:val="Page Numbers (Top of Page)"/>
        <w:docPartUnique/>
      </w:docPartObj>
    </w:sdtPr>
    <w:sdtEndPr/>
    <w:sdtContent>
      <w:p w14:paraId="76ABF440" w14:textId="77777777" w:rsidR="000E15EF" w:rsidRDefault="000E15EF">
        <w:pPr>
          <w:pStyle w:val="Header"/>
          <w:jc w:val="center"/>
        </w:pPr>
        <w:r>
          <w:fldChar w:fldCharType="begin"/>
        </w:r>
        <w:r>
          <w:instrText>PAGE   \* MERGEFORMAT</w:instrText>
        </w:r>
        <w:r>
          <w:fldChar w:fldCharType="separate"/>
        </w:r>
        <w:r w:rsidR="00056299">
          <w:rPr>
            <w:noProof/>
          </w:rPr>
          <w:t>3</w:t>
        </w:r>
        <w:r>
          <w:fldChar w:fldCharType="end"/>
        </w:r>
      </w:p>
    </w:sdtContent>
  </w:sdt>
  <w:p w14:paraId="3DC6336F" w14:textId="77777777" w:rsidR="000E15EF" w:rsidRDefault="000E1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C0B7A" w14:textId="16AD104A" w:rsidR="00B806B8" w:rsidRDefault="00B806B8">
    <w:pPr>
      <w:pStyle w:val="Header"/>
    </w:pPr>
    <w:r>
      <w:tab/>
    </w:r>
    <w:r>
      <w:tab/>
    </w:r>
  </w:p>
  <w:p w14:paraId="0856A467" w14:textId="6CD23A6F" w:rsidR="00B806B8" w:rsidRPr="00B806B8" w:rsidRDefault="00B806B8">
    <w:pPr>
      <w:pStyle w:val="Header"/>
      <w:rPr>
        <w:b/>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23EAB"/>
    <w:multiLevelType w:val="hybridMultilevel"/>
    <w:tmpl w:val="961A02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8C663BB"/>
    <w:multiLevelType w:val="hybridMultilevel"/>
    <w:tmpl w:val="A9A6B5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2025401766">
    <w:abstractNumId w:val="1"/>
  </w:num>
  <w:num w:numId="2" w16cid:durableId="68043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5C"/>
    <w:rsid w:val="000178F6"/>
    <w:rsid w:val="00020294"/>
    <w:rsid w:val="00043FEC"/>
    <w:rsid w:val="00052BF6"/>
    <w:rsid w:val="00056299"/>
    <w:rsid w:val="00056889"/>
    <w:rsid w:val="0005773A"/>
    <w:rsid w:val="0006079E"/>
    <w:rsid w:val="0006561C"/>
    <w:rsid w:val="00071479"/>
    <w:rsid w:val="000809AC"/>
    <w:rsid w:val="000826FD"/>
    <w:rsid w:val="00082B77"/>
    <w:rsid w:val="000B1A72"/>
    <w:rsid w:val="000B1F49"/>
    <w:rsid w:val="000B3953"/>
    <w:rsid w:val="000B3C12"/>
    <w:rsid w:val="000E1593"/>
    <w:rsid w:val="000E15EF"/>
    <w:rsid w:val="000E16E0"/>
    <w:rsid w:val="0012054E"/>
    <w:rsid w:val="00121982"/>
    <w:rsid w:val="00123A36"/>
    <w:rsid w:val="00134B9C"/>
    <w:rsid w:val="00137DD8"/>
    <w:rsid w:val="001449A6"/>
    <w:rsid w:val="00163426"/>
    <w:rsid w:val="00175709"/>
    <w:rsid w:val="00184E15"/>
    <w:rsid w:val="00193659"/>
    <w:rsid w:val="00197A09"/>
    <w:rsid w:val="001A3952"/>
    <w:rsid w:val="001A5F43"/>
    <w:rsid w:val="001B1551"/>
    <w:rsid w:val="001C2141"/>
    <w:rsid w:val="001D0A3A"/>
    <w:rsid w:val="001D3013"/>
    <w:rsid w:val="001D3FC8"/>
    <w:rsid w:val="001D6C48"/>
    <w:rsid w:val="001E21D9"/>
    <w:rsid w:val="001F75EC"/>
    <w:rsid w:val="00210856"/>
    <w:rsid w:val="00225DF0"/>
    <w:rsid w:val="00232B3C"/>
    <w:rsid w:val="0025127E"/>
    <w:rsid w:val="002534C7"/>
    <w:rsid w:val="0025716E"/>
    <w:rsid w:val="00262BE0"/>
    <w:rsid w:val="00264CA0"/>
    <w:rsid w:val="00272D1A"/>
    <w:rsid w:val="00273D8D"/>
    <w:rsid w:val="002756AF"/>
    <w:rsid w:val="0028169C"/>
    <w:rsid w:val="00290BE8"/>
    <w:rsid w:val="002A28C5"/>
    <w:rsid w:val="002B0536"/>
    <w:rsid w:val="002B0B2C"/>
    <w:rsid w:val="002C223A"/>
    <w:rsid w:val="002C4ACA"/>
    <w:rsid w:val="002C563F"/>
    <w:rsid w:val="002C5C8D"/>
    <w:rsid w:val="002C61F7"/>
    <w:rsid w:val="002C6D36"/>
    <w:rsid w:val="002C6EE1"/>
    <w:rsid w:val="002D19C4"/>
    <w:rsid w:val="002E5138"/>
    <w:rsid w:val="002E5CFA"/>
    <w:rsid w:val="002F001B"/>
    <w:rsid w:val="002F05C7"/>
    <w:rsid w:val="002F3625"/>
    <w:rsid w:val="00313BA6"/>
    <w:rsid w:val="00314E36"/>
    <w:rsid w:val="00323E9C"/>
    <w:rsid w:val="00325EFB"/>
    <w:rsid w:val="00332494"/>
    <w:rsid w:val="003378B9"/>
    <w:rsid w:val="00337B48"/>
    <w:rsid w:val="00342F3F"/>
    <w:rsid w:val="00363BD7"/>
    <w:rsid w:val="00366A83"/>
    <w:rsid w:val="00372824"/>
    <w:rsid w:val="00376CFE"/>
    <w:rsid w:val="00382706"/>
    <w:rsid w:val="00383D4C"/>
    <w:rsid w:val="00394EC9"/>
    <w:rsid w:val="00396418"/>
    <w:rsid w:val="003A04E1"/>
    <w:rsid w:val="003A1822"/>
    <w:rsid w:val="003A6989"/>
    <w:rsid w:val="003B3988"/>
    <w:rsid w:val="003B6FEF"/>
    <w:rsid w:val="003C4378"/>
    <w:rsid w:val="003D35B1"/>
    <w:rsid w:val="003D7879"/>
    <w:rsid w:val="003E4534"/>
    <w:rsid w:val="00400AF2"/>
    <w:rsid w:val="004222C7"/>
    <w:rsid w:val="00446B97"/>
    <w:rsid w:val="004476DD"/>
    <w:rsid w:val="00457038"/>
    <w:rsid w:val="00473F91"/>
    <w:rsid w:val="00474716"/>
    <w:rsid w:val="004857A3"/>
    <w:rsid w:val="00492B2B"/>
    <w:rsid w:val="004B61D5"/>
    <w:rsid w:val="004C0A2A"/>
    <w:rsid w:val="004D0F7F"/>
    <w:rsid w:val="004D33AC"/>
    <w:rsid w:val="004E0535"/>
    <w:rsid w:val="004F1336"/>
    <w:rsid w:val="005021E5"/>
    <w:rsid w:val="00513E34"/>
    <w:rsid w:val="0052473E"/>
    <w:rsid w:val="005445B4"/>
    <w:rsid w:val="00547F9A"/>
    <w:rsid w:val="00551679"/>
    <w:rsid w:val="005807E5"/>
    <w:rsid w:val="005863CE"/>
    <w:rsid w:val="00597EE8"/>
    <w:rsid w:val="005A7D86"/>
    <w:rsid w:val="005B6513"/>
    <w:rsid w:val="005D0738"/>
    <w:rsid w:val="005E45BF"/>
    <w:rsid w:val="005F0FC8"/>
    <w:rsid w:val="005F2119"/>
    <w:rsid w:val="005F2FBE"/>
    <w:rsid w:val="005F495C"/>
    <w:rsid w:val="005F7B03"/>
    <w:rsid w:val="00610AD3"/>
    <w:rsid w:val="0061303D"/>
    <w:rsid w:val="00613471"/>
    <w:rsid w:val="00615011"/>
    <w:rsid w:val="006237F2"/>
    <w:rsid w:val="00623DF4"/>
    <w:rsid w:val="00631094"/>
    <w:rsid w:val="00645D05"/>
    <w:rsid w:val="00654AA3"/>
    <w:rsid w:val="006766B6"/>
    <w:rsid w:val="006862D4"/>
    <w:rsid w:val="00694C4A"/>
    <w:rsid w:val="006962FF"/>
    <w:rsid w:val="006B605D"/>
    <w:rsid w:val="006C2386"/>
    <w:rsid w:val="006C4412"/>
    <w:rsid w:val="006C66F7"/>
    <w:rsid w:val="006D7EE6"/>
    <w:rsid w:val="006E68E9"/>
    <w:rsid w:val="006E7B68"/>
    <w:rsid w:val="00714EB0"/>
    <w:rsid w:val="007337DD"/>
    <w:rsid w:val="00745020"/>
    <w:rsid w:val="007539C3"/>
    <w:rsid w:val="00753AFB"/>
    <w:rsid w:val="00757C5B"/>
    <w:rsid w:val="0078596C"/>
    <w:rsid w:val="007A1D2B"/>
    <w:rsid w:val="007A1D59"/>
    <w:rsid w:val="007A788F"/>
    <w:rsid w:val="007B3B14"/>
    <w:rsid w:val="007D7C6F"/>
    <w:rsid w:val="00814230"/>
    <w:rsid w:val="0082178D"/>
    <w:rsid w:val="008264B1"/>
    <w:rsid w:val="008338C8"/>
    <w:rsid w:val="008354D5"/>
    <w:rsid w:val="00857E17"/>
    <w:rsid w:val="00861923"/>
    <w:rsid w:val="00867418"/>
    <w:rsid w:val="00882C71"/>
    <w:rsid w:val="00896ECD"/>
    <w:rsid w:val="008A6EAB"/>
    <w:rsid w:val="008B197E"/>
    <w:rsid w:val="008B2402"/>
    <w:rsid w:val="008D59AE"/>
    <w:rsid w:val="008D5FDB"/>
    <w:rsid w:val="008E2A64"/>
    <w:rsid w:val="008E6E82"/>
    <w:rsid w:val="008F029F"/>
    <w:rsid w:val="008F3A53"/>
    <w:rsid w:val="009275DA"/>
    <w:rsid w:val="00931988"/>
    <w:rsid w:val="009429CB"/>
    <w:rsid w:val="00964648"/>
    <w:rsid w:val="00965770"/>
    <w:rsid w:val="00970DCA"/>
    <w:rsid w:val="009828E6"/>
    <w:rsid w:val="0098391D"/>
    <w:rsid w:val="0098679F"/>
    <w:rsid w:val="009A0E8B"/>
    <w:rsid w:val="009A6D99"/>
    <w:rsid w:val="009B3584"/>
    <w:rsid w:val="009E33F3"/>
    <w:rsid w:val="009E5BB8"/>
    <w:rsid w:val="00A06C93"/>
    <w:rsid w:val="00A10E31"/>
    <w:rsid w:val="00A26636"/>
    <w:rsid w:val="00A330DC"/>
    <w:rsid w:val="00A547E1"/>
    <w:rsid w:val="00A64BB1"/>
    <w:rsid w:val="00A6710D"/>
    <w:rsid w:val="00A679B8"/>
    <w:rsid w:val="00A8346D"/>
    <w:rsid w:val="00A87420"/>
    <w:rsid w:val="00AB055C"/>
    <w:rsid w:val="00AB231F"/>
    <w:rsid w:val="00AB3D48"/>
    <w:rsid w:val="00AB4B49"/>
    <w:rsid w:val="00AC22A3"/>
    <w:rsid w:val="00AC5C53"/>
    <w:rsid w:val="00AE6BC3"/>
    <w:rsid w:val="00AF2554"/>
    <w:rsid w:val="00AF7D08"/>
    <w:rsid w:val="00AF7F94"/>
    <w:rsid w:val="00B05032"/>
    <w:rsid w:val="00B16F2B"/>
    <w:rsid w:val="00B32460"/>
    <w:rsid w:val="00B45F5A"/>
    <w:rsid w:val="00B52D8A"/>
    <w:rsid w:val="00B7144A"/>
    <w:rsid w:val="00B750B6"/>
    <w:rsid w:val="00B806B8"/>
    <w:rsid w:val="00B926D6"/>
    <w:rsid w:val="00B9300F"/>
    <w:rsid w:val="00BC769A"/>
    <w:rsid w:val="00BD4D29"/>
    <w:rsid w:val="00C0221D"/>
    <w:rsid w:val="00C12F03"/>
    <w:rsid w:val="00C222C2"/>
    <w:rsid w:val="00C249B8"/>
    <w:rsid w:val="00C33671"/>
    <w:rsid w:val="00C44976"/>
    <w:rsid w:val="00C46901"/>
    <w:rsid w:val="00C47C75"/>
    <w:rsid w:val="00C51DD5"/>
    <w:rsid w:val="00C674FF"/>
    <w:rsid w:val="00C86013"/>
    <w:rsid w:val="00C9093E"/>
    <w:rsid w:val="00C945BE"/>
    <w:rsid w:val="00CA4D3B"/>
    <w:rsid w:val="00CA60B2"/>
    <w:rsid w:val="00CB0E1A"/>
    <w:rsid w:val="00CB31D9"/>
    <w:rsid w:val="00CC7945"/>
    <w:rsid w:val="00CD0782"/>
    <w:rsid w:val="00CD7FBC"/>
    <w:rsid w:val="00CE5F18"/>
    <w:rsid w:val="00CF2603"/>
    <w:rsid w:val="00CF4AB9"/>
    <w:rsid w:val="00D23C1F"/>
    <w:rsid w:val="00D25D3E"/>
    <w:rsid w:val="00D32152"/>
    <w:rsid w:val="00D3428F"/>
    <w:rsid w:val="00D34D67"/>
    <w:rsid w:val="00D46534"/>
    <w:rsid w:val="00D55D6A"/>
    <w:rsid w:val="00D64369"/>
    <w:rsid w:val="00D77B80"/>
    <w:rsid w:val="00D86204"/>
    <w:rsid w:val="00D91B15"/>
    <w:rsid w:val="00D9226F"/>
    <w:rsid w:val="00DB4F06"/>
    <w:rsid w:val="00DC0499"/>
    <w:rsid w:val="00DC09B9"/>
    <w:rsid w:val="00DC13C8"/>
    <w:rsid w:val="00DC22B5"/>
    <w:rsid w:val="00DC723C"/>
    <w:rsid w:val="00DD1889"/>
    <w:rsid w:val="00DE0A8B"/>
    <w:rsid w:val="00DE2D96"/>
    <w:rsid w:val="00DF238A"/>
    <w:rsid w:val="00DF4CC5"/>
    <w:rsid w:val="00DF4F0E"/>
    <w:rsid w:val="00DF7800"/>
    <w:rsid w:val="00E06BED"/>
    <w:rsid w:val="00E2098D"/>
    <w:rsid w:val="00E22F32"/>
    <w:rsid w:val="00E23887"/>
    <w:rsid w:val="00E25064"/>
    <w:rsid w:val="00E27B9F"/>
    <w:rsid w:val="00E30B02"/>
    <w:rsid w:val="00E336A4"/>
    <w:rsid w:val="00E33871"/>
    <w:rsid w:val="00E401A1"/>
    <w:rsid w:val="00E60ECD"/>
    <w:rsid w:val="00E652AA"/>
    <w:rsid w:val="00E72EE8"/>
    <w:rsid w:val="00E8638D"/>
    <w:rsid w:val="00E92633"/>
    <w:rsid w:val="00E93F0E"/>
    <w:rsid w:val="00E941CF"/>
    <w:rsid w:val="00E972ED"/>
    <w:rsid w:val="00EC5040"/>
    <w:rsid w:val="00EC551B"/>
    <w:rsid w:val="00EC6DE8"/>
    <w:rsid w:val="00ED362C"/>
    <w:rsid w:val="00ED3E22"/>
    <w:rsid w:val="00EE0AD9"/>
    <w:rsid w:val="00F04C12"/>
    <w:rsid w:val="00F11B26"/>
    <w:rsid w:val="00F3273B"/>
    <w:rsid w:val="00F43F06"/>
    <w:rsid w:val="00F528D9"/>
    <w:rsid w:val="00F52CAE"/>
    <w:rsid w:val="00F700F9"/>
    <w:rsid w:val="00F76E7D"/>
    <w:rsid w:val="00F80194"/>
    <w:rsid w:val="00F873BE"/>
    <w:rsid w:val="00FA784A"/>
    <w:rsid w:val="00FC07D3"/>
    <w:rsid w:val="00FF55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3FAA"/>
  <w15:docId w15:val="{48156991-697A-4D87-8D7A-8D306557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D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4D5"/>
    <w:rPr>
      <w:rFonts w:ascii="Tahoma" w:hAnsi="Tahoma" w:cs="Tahoma"/>
      <w:sz w:val="16"/>
      <w:szCs w:val="16"/>
    </w:rPr>
  </w:style>
  <w:style w:type="character" w:customStyle="1" w:styleId="BalloonTextChar">
    <w:name w:val="Balloon Text Char"/>
    <w:basedOn w:val="DefaultParagraphFont"/>
    <w:link w:val="BalloonText"/>
    <w:uiPriority w:val="99"/>
    <w:semiHidden/>
    <w:rsid w:val="008354D5"/>
    <w:rPr>
      <w:rFonts w:ascii="Tahoma" w:eastAsia="Times New Roman" w:hAnsi="Tahoma" w:cs="Tahoma"/>
      <w:sz w:val="16"/>
      <w:szCs w:val="16"/>
    </w:rPr>
  </w:style>
  <w:style w:type="table" w:styleId="TableGrid">
    <w:name w:val="Table Grid"/>
    <w:basedOn w:val="TableNorma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5EF"/>
    <w:pPr>
      <w:tabs>
        <w:tab w:val="center" w:pos="4819"/>
        <w:tab w:val="right" w:pos="9638"/>
      </w:tabs>
    </w:pPr>
  </w:style>
  <w:style w:type="character" w:customStyle="1" w:styleId="HeaderChar">
    <w:name w:val="Header Char"/>
    <w:basedOn w:val="DefaultParagraphFont"/>
    <w:link w:val="Header"/>
    <w:uiPriority w:val="99"/>
    <w:rsid w:val="000E15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15EF"/>
    <w:pPr>
      <w:tabs>
        <w:tab w:val="center" w:pos="4819"/>
        <w:tab w:val="right" w:pos="9638"/>
      </w:tabs>
    </w:pPr>
  </w:style>
  <w:style w:type="character" w:customStyle="1" w:styleId="FooterChar">
    <w:name w:val="Footer Char"/>
    <w:basedOn w:val="DefaultParagraphFont"/>
    <w:link w:val="Footer"/>
    <w:uiPriority w:val="99"/>
    <w:rsid w:val="000E15EF"/>
    <w:rPr>
      <w:rFonts w:ascii="Times New Roman" w:eastAsia="Times New Roman" w:hAnsi="Times New Roman" w:cs="Times New Roman"/>
      <w:sz w:val="24"/>
      <w:szCs w:val="24"/>
    </w:rPr>
  </w:style>
  <w:style w:type="paragraph" w:styleId="ListParagraph">
    <w:name w:val="List Paragraph"/>
    <w:basedOn w:val="Normal"/>
    <w:uiPriority w:val="34"/>
    <w:qFormat/>
    <w:rsid w:val="00E93F0E"/>
    <w:pPr>
      <w:ind w:left="720"/>
      <w:contextualSpacing/>
    </w:pPr>
    <w:rPr>
      <w:sz w:val="20"/>
      <w:szCs w:val="20"/>
    </w:rPr>
  </w:style>
  <w:style w:type="paragraph" w:customStyle="1" w:styleId="05">
    <w:name w:val="05"/>
    <w:basedOn w:val="Normal"/>
    <w:qFormat/>
    <w:rsid w:val="00DC13C8"/>
    <w:pPr>
      <w:spacing w:after="120" w:line="276" w:lineRule="auto"/>
    </w:pPr>
    <w:rPr>
      <w:rFonts w:ascii="Titillium Lt" w:hAnsi="Titillium Lt"/>
      <w:color w:val="7C7C7C"/>
      <w:sz w:val="22"/>
      <w:szCs w:val="18"/>
    </w:rPr>
  </w:style>
  <w:style w:type="paragraph" w:styleId="PlainText">
    <w:name w:val="Plain Text"/>
    <w:basedOn w:val="Normal"/>
    <w:link w:val="PlainTextChar"/>
    <w:uiPriority w:val="99"/>
    <w:unhideWhenUsed/>
    <w:rsid w:val="00B806B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806B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492924">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180041818">
      <w:bodyDiv w:val="1"/>
      <w:marLeft w:val="0"/>
      <w:marRight w:val="0"/>
      <w:marTop w:val="0"/>
      <w:marBottom w:val="0"/>
      <w:divBdr>
        <w:top w:val="none" w:sz="0" w:space="0" w:color="auto"/>
        <w:left w:val="none" w:sz="0" w:space="0" w:color="auto"/>
        <w:bottom w:val="none" w:sz="0" w:space="0" w:color="auto"/>
        <w:right w:val="none" w:sz="0" w:space="0" w:color="auto"/>
      </w:divBdr>
    </w:div>
    <w:div w:id="1305506587">
      <w:bodyDiv w:val="1"/>
      <w:marLeft w:val="0"/>
      <w:marRight w:val="0"/>
      <w:marTop w:val="0"/>
      <w:marBottom w:val="0"/>
      <w:divBdr>
        <w:top w:val="none" w:sz="0" w:space="0" w:color="auto"/>
        <w:left w:val="none" w:sz="0" w:space="0" w:color="auto"/>
        <w:bottom w:val="none" w:sz="0" w:space="0" w:color="auto"/>
        <w:right w:val="none" w:sz="0" w:space="0" w:color="auto"/>
      </w:divBdr>
    </w:div>
    <w:div w:id="210071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2145</Words>
  <Characters>12230</Characters>
  <Application>Microsoft Office Word</Application>
  <DocSecurity>4</DocSecurity>
  <Lines>101</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KLAP KLAP</cp:lastModifiedBy>
  <cp:revision>2</cp:revision>
  <dcterms:created xsi:type="dcterms:W3CDTF">2024-09-19T11:37:00Z</dcterms:created>
  <dcterms:modified xsi:type="dcterms:W3CDTF">2024-09-19T11:37:00Z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1c30974c55270a7450279d99121de0f7e718025ca6c06e550f21c4939cb4696d</vt:lpwstr>
  </property>
</Properties>
</file>